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5E" w:rsidRPr="00D57CC5" w:rsidRDefault="004F415E" w:rsidP="004F415E">
      <w:pPr>
        <w:spacing w:before="120" w:after="120" w:line="360" w:lineRule="auto"/>
        <w:ind w:hanging="7"/>
        <w:jc w:val="center"/>
        <w:rPr>
          <w:rFonts w:ascii="Arial" w:hAnsi="Arial" w:cs="Arial"/>
          <w:b/>
          <w:sz w:val="20"/>
          <w:szCs w:val="20"/>
        </w:rPr>
      </w:pPr>
      <w:bookmarkStart w:id="0" w:name="_Hlk14596715"/>
      <w:bookmarkStart w:id="1" w:name="_Hlk15538690"/>
      <w:r w:rsidRPr="00D57CC5">
        <w:rPr>
          <w:rFonts w:ascii="Arial Narrow" w:hAnsi="Arial Narrow" w:cs="Arial"/>
          <w:b/>
          <w:sz w:val="28"/>
          <w:szCs w:val="28"/>
        </w:rPr>
        <w:t xml:space="preserve">5-Aminolevulinic Acid </w:t>
      </w:r>
      <w:r>
        <w:rPr>
          <w:rFonts w:ascii="Arial Narrow" w:hAnsi="Arial Narrow" w:cs="Arial"/>
          <w:b/>
          <w:sz w:val="28"/>
          <w:szCs w:val="28"/>
        </w:rPr>
        <w:t xml:space="preserve">Lessened Growth Suppression </w:t>
      </w:r>
      <w:r w:rsidRPr="00D57CC5">
        <w:rPr>
          <w:rFonts w:ascii="Arial Narrow" w:hAnsi="Arial Narrow" w:cs="Arial"/>
          <w:b/>
          <w:sz w:val="28"/>
          <w:szCs w:val="28"/>
        </w:rPr>
        <w:t xml:space="preserve">in Common Bean </w:t>
      </w:r>
      <w:r w:rsidRPr="00D57CC5">
        <w:rPr>
          <w:rFonts w:ascii="Arial Narrow" w:hAnsi="Arial Narrow" w:cs="Times New Roman"/>
          <w:b/>
          <w:sz w:val="28"/>
          <w:szCs w:val="28"/>
        </w:rPr>
        <w:t>(</w:t>
      </w:r>
      <w:r w:rsidRPr="00D57CC5">
        <w:rPr>
          <w:rFonts w:ascii="Arial Narrow" w:hAnsi="Arial Narrow" w:cs="Times New Roman"/>
          <w:b/>
          <w:i/>
          <w:sz w:val="28"/>
          <w:szCs w:val="28"/>
        </w:rPr>
        <w:t>Phaseolus vulgaris</w:t>
      </w:r>
      <w:r w:rsidRPr="00D57CC5">
        <w:rPr>
          <w:rFonts w:ascii="Arial Narrow" w:hAnsi="Arial Narrow" w:cs="Times New Roman"/>
          <w:b/>
          <w:sz w:val="28"/>
          <w:szCs w:val="28"/>
        </w:rPr>
        <w:t xml:space="preserve"> L.)</w:t>
      </w:r>
      <w:r>
        <w:rPr>
          <w:rFonts w:ascii="Arial Narrow" w:hAnsi="Arial Narrow" w:cs="Times New Roman"/>
          <w:b/>
          <w:sz w:val="28"/>
          <w:szCs w:val="28"/>
        </w:rPr>
        <w:t xml:space="preserve"> Exposed </w:t>
      </w:r>
      <w:r>
        <w:rPr>
          <w:rFonts w:ascii="Arial Narrow" w:hAnsi="Arial Narrow" w:cs="Arial"/>
          <w:b/>
          <w:sz w:val="28"/>
          <w:szCs w:val="28"/>
        </w:rPr>
        <w:t>to</w:t>
      </w:r>
      <w:r w:rsidRPr="00D57CC5">
        <w:rPr>
          <w:rFonts w:ascii="Arial Narrow" w:hAnsi="Arial Narrow" w:cs="Arial"/>
          <w:b/>
          <w:sz w:val="28"/>
          <w:szCs w:val="28"/>
        </w:rPr>
        <w:t xml:space="preserve"> </w:t>
      </w:r>
      <w:r w:rsidRPr="00D57CC5">
        <w:rPr>
          <w:rFonts w:ascii="Arial Narrow" w:hAnsi="Arial Narrow" w:cs="Times New Roman"/>
          <w:b/>
          <w:sz w:val="28"/>
          <w:szCs w:val="28"/>
        </w:rPr>
        <w:t>Shallow Water Table</w:t>
      </w:r>
      <w:bookmarkEnd w:id="1"/>
      <w:r w:rsidRPr="00D57CC5">
        <w:rPr>
          <w:rFonts w:ascii="Arial Narrow" w:hAnsi="Arial Narrow" w:cs="Times New Roman"/>
          <w:b/>
          <w:sz w:val="28"/>
          <w:szCs w:val="28"/>
        </w:rPr>
        <w:t xml:space="preserve"> </w:t>
      </w:r>
    </w:p>
    <w:bookmarkEnd w:id="0"/>
    <w:p w:rsidR="00A15B14" w:rsidRPr="00F90FB6" w:rsidRDefault="00A15B14" w:rsidP="00A15B14">
      <w:pPr>
        <w:autoSpaceDE w:val="0"/>
        <w:autoSpaceDN w:val="0"/>
        <w:adjustRightInd w:val="0"/>
        <w:spacing w:before="120" w:after="120" w:line="360" w:lineRule="auto"/>
        <w:ind w:hanging="7"/>
        <w:jc w:val="center"/>
        <w:rPr>
          <w:rFonts w:ascii="Arial" w:hAnsi="Arial" w:cs="Arial"/>
          <w:color w:val="000000"/>
          <w:sz w:val="20"/>
          <w:szCs w:val="20"/>
          <w:vertAlign w:val="superscript"/>
        </w:rPr>
      </w:pPr>
      <w:r w:rsidRPr="00F90FB6">
        <w:rPr>
          <w:rFonts w:ascii="Arial" w:hAnsi="Arial" w:cs="Arial"/>
          <w:color w:val="000000"/>
          <w:sz w:val="20"/>
          <w:szCs w:val="20"/>
        </w:rPr>
        <w:t>Haris Kriswantoro</w:t>
      </w:r>
      <w:r w:rsidRPr="00F90FB6">
        <w:rPr>
          <w:rFonts w:ascii="Arial" w:hAnsi="Arial" w:cs="Arial"/>
          <w:color w:val="000000"/>
          <w:sz w:val="20"/>
          <w:szCs w:val="20"/>
          <w:vertAlign w:val="superscript"/>
        </w:rPr>
        <w:t>1,2)</w:t>
      </w:r>
      <w:r w:rsidRPr="00F90FB6">
        <w:rPr>
          <w:rFonts w:ascii="Arial" w:hAnsi="Arial" w:cs="Arial"/>
          <w:color w:val="000000"/>
          <w:sz w:val="20"/>
          <w:szCs w:val="20"/>
        </w:rPr>
        <w:t>, Benyamin Lakitan</w:t>
      </w:r>
      <w:r w:rsidRPr="00F90FB6">
        <w:rPr>
          <w:rFonts w:ascii="Arial" w:hAnsi="Arial" w:cs="Arial"/>
          <w:color w:val="000000"/>
          <w:sz w:val="20"/>
          <w:szCs w:val="20"/>
          <w:vertAlign w:val="superscript"/>
        </w:rPr>
        <w:t>2,3*)</w:t>
      </w:r>
      <w:r w:rsidRPr="00F90FB6">
        <w:rPr>
          <w:rFonts w:ascii="Arial" w:hAnsi="Arial" w:cs="Arial"/>
          <w:color w:val="000000"/>
          <w:sz w:val="20"/>
          <w:szCs w:val="20"/>
        </w:rPr>
        <w:t>, Aldes Lesbani</w:t>
      </w:r>
      <w:r w:rsidRPr="00F90FB6">
        <w:rPr>
          <w:rFonts w:ascii="Arial" w:hAnsi="Arial" w:cs="Arial"/>
          <w:color w:val="000000"/>
          <w:sz w:val="20"/>
          <w:szCs w:val="20"/>
          <w:vertAlign w:val="superscript"/>
        </w:rPr>
        <w:t>4)</w:t>
      </w:r>
      <w:r w:rsidRPr="00F90FB6">
        <w:rPr>
          <w:rFonts w:ascii="Arial" w:hAnsi="Arial" w:cs="Arial"/>
          <w:color w:val="000000"/>
          <w:sz w:val="20"/>
          <w:szCs w:val="20"/>
        </w:rPr>
        <w:t>, Andi Wijaya</w:t>
      </w:r>
      <w:r w:rsidRPr="00F90FB6">
        <w:rPr>
          <w:rFonts w:ascii="Arial" w:hAnsi="Arial" w:cs="Arial"/>
          <w:color w:val="000000"/>
          <w:sz w:val="20"/>
          <w:szCs w:val="20"/>
          <w:vertAlign w:val="superscript"/>
        </w:rPr>
        <w:t>2)</w:t>
      </w:r>
    </w:p>
    <w:p w:rsidR="00A15B14" w:rsidRPr="00F90FB6" w:rsidRDefault="00A15B14" w:rsidP="00A15B14">
      <w:pPr>
        <w:autoSpaceDE w:val="0"/>
        <w:autoSpaceDN w:val="0"/>
        <w:adjustRightInd w:val="0"/>
        <w:spacing w:before="120" w:after="120" w:line="360" w:lineRule="auto"/>
        <w:ind w:left="187" w:hanging="187"/>
        <w:jc w:val="both"/>
        <w:rPr>
          <w:rFonts w:ascii="Arial" w:hAnsi="Arial" w:cs="Arial"/>
          <w:color w:val="000000"/>
          <w:sz w:val="20"/>
          <w:szCs w:val="20"/>
        </w:rPr>
      </w:pPr>
    </w:p>
    <w:p w:rsidR="00A15B14" w:rsidRPr="00F90FB6" w:rsidRDefault="00A15B14" w:rsidP="00A15B14">
      <w:pPr>
        <w:pStyle w:val="ListParagraph"/>
        <w:numPr>
          <w:ilvl w:val="0"/>
          <w:numId w:val="7"/>
        </w:numPr>
        <w:autoSpaceDE w:val="0"/>
        <w:autoSpaceDN w:val="0"/>
        <w:adjustRightInd w:val="0"/>
        <w:spacing w:before="120" w:after="120" w:line="360" w:lineRule="auto"/>
        <w:ind w:left="180" w:hanging="180"/>
        <w:jc w:val="both"/>
        <w:rPr>
          <w:rFonts w:ascii="Arial" w:hAnsi="Arial" w:cs="Arial"/>
          <w:sz w:val="20"/>
          <w:szCs w:val="20"/>
        </w:rPr>
      </w:pPr>
      <w:r w:rsidRPr="00F90FB6">
        <w:rPr>
          <w:rFonts w:ascii="Arial" w:hAnsi="Arial" w:cs="Arial"/>
          <w:sz w:val="20"/>
          <w:szCs w:val="20"/>
        </w:rPr>
        <w:t>College of Agriculture, Universitas Palembang, Palembang 30139, Indonesia</w:t>
      </w:r>
    </w:p>
    <w:p w:rsidR="00A15B14" w:rsidRPr="00F90FB6" w:rsidRDefault="00A15B14" w:rsidP="00A15B14">
      <w:pPr>
        <w:pStyle w:val="ListParagraph"/>
        <w:numPr>
          <w:ilvl w:val="0"/>
          <w:numId w:val="7"/>
        </w:numPr>
        <w:autoSpaceDE w:val="0"/>
        <w:autoSpaceDN w:val="0"/>
        <w:adjustRightInd w:val="0"/>
        <w:spacing w:before="120" w:after="120" w:line="360" w:lineRule="auto"/>
        <w:ind w:left="187" w:hanging="187"/>
        <w:jc w:val="both"/>
        <w:rPr>
          <w:rFonts w:ascii="Arial" w:hAnsi="Arial" w:cs="Arial"/>
          <w:bCs/>
          <w:sz w:val="20"/>
          <w:szCs w:val="20"/>
        </w:rPr>
      </w:pPr>
      <w:bookmarkStart w:id="2" w:name="_Hlk14597140"/>
      <w:r w:rsidRPr="00F90FB6">
        <w:rPr>
          <w:rFonts w:ascii="Arial" w:hAnsi="Arial" w:cs="Arial"/>
          <w:bCs/>
          <w:sz w:val="20"/>
          <w:szCs w:val="20"/>
        </w:rPr>
        <w:t>College of Agriculture, Universitas Sriwijaya, Inderalaya 30662, Indonesia</w:t>
      </w:r>
      <w:bookmarkEnd w:id="2"/>
    </w:p>
    <w:p w:rsidR="00A15B14" w:rsidRPr="00F90FB6" w:rsidRDefault="00A15B14" w:rsidP="00A15B14">
      <w:pPr>
        <w:pStyle w:val="ListParagraph"/>
        <w:numPr>
          <w:ilvl w:val="0"/>
          <w:numId w:val="7"/>
        </w:numPr>
        <w:autoSpaceDE w:val="0"/>
        <w:autoSpaceDN w:val="0"/>
        <w:adjustRightInd w:val="0"/>
        <w:spacing w:before="120" w:after="120" w:line="360" w:lineRule="auto"/>
        <w:ind w:left="187" w:hanging="187"/>
        <w:jc w:val="both"/>
        <w:rPr>
          <w:rFonts w:ascii="Arial" w:hAnsi="Arial" w:cs="Arial"/>
          <w:sz w:val="20"/>
          <w:szCs w:val="20"/>
        </w:rPr>
      </w:pPr>
      <w:bookmarkStart w:id="3" w:name="_Hlk14597318"/>
      <w:r w:rsidRPr="00F90FB6">
        <w:rPr>
          <w:rFonts w:ascii="Arial" w:hAnsi="Arial" w:cs="Arial"/>
          <w:sz w:val="20"/>
          <w:szCs w:val="20"/>
        </w:rPr>
        <w:t>Research Center for Sub-optimal Lands (PUR-PLSO), Universitas Sriwijaya, Palembang 30139, Indonesia</w:t>
      </w:r>
      <w:bookmarkEnd w:id="3"/>
    </w:p>
    <w:p w:rsidR="00A15B14" w:rsidRPr="00F90FB6" w:rsidRDefault="00A15B14" w:rsidP="00A15B14">
      <w:pPr>
        <w:pStyle w:val="ListParagraph"/>
        <w:numPr>
          <w:ilvl w:val="0"/>
          <w:numId w:val="7"/>
        </w:numPr>
        <w:autoSpaceDE w:val="0"/>
        <w:autoSpaceDN w:val="0"/>
        <w:adjustRightInd w:val="0"/>
        <w:spacing w:before="120" w:after="120" w:line="360" w:lineRule="auto"/>
        <w:ind w:left="187" w:hanging="187"/>
        <w:jc w:val="both"/>
        <w:rPr>
          <w:rFonts w:ascii="Arial" w:hAnsi="Arial" w:cs="Arial"/>
          <w:sz w:val="20"/>
          <w:szCs w:val="20"/>
        </w:rPr>
      </w:pPr>
      <w:bookmarkStart w:id="4" w:name="_Hlk14597543"/>
      <w:r w:rsidRPr="00F90FB6">
        <w:rPr>
          <w:rFonts w:ascii="Arial" w:hAnsi="Arial" w:cs="Arial"/>
          <w:bCs/>
          <w:sz w:val="20"/>
          <w:szCs w:val="20"/>
        </w:rPr>
        <w:t>Department of Chemistry, College of Mathematics and Natural Sciences, Universitas Sriwijaya, Inderalaya 30662, Indonesia</w:t>
      </w:r>
      <w:bookmarkEnd w:id="4"/>
    </w:p>
    <w:p w:rsidR="00A15B14" w:rsidRPr="00F90FB6" w:rsidRDefault="00A15B14" w:rsidP="00A15B14">
      <w:pPr>
        <w:spacing w:before="120" w:after="120" w:line="360" w:lineRule="auto"/>
        <w:ind w:left="187" w:hanging="187"/>
        <w:jc w:val="both"/>
        <w:rPr>
          <w:rFonts w:ascii="Arial" w:hAnsi="Arial" w:cs="Arial"/>
          <w:sz w:val="20"/>
          <w:szCs w:val="20"/>
        </w:rPr>
      </w:pPr>
      <w:r w:rsidRPr="00F90FB6">
        <w:rPr>
          <w:rFonts w:ascii="Arial" w:hAnsi="Arial" w:cs="Arial"/>
          <w:sz w:val="20"/>
          <w:szCs w:val="20"/>
          <w:vertAlign w:val="superscript"/>
        </w:rPr>
        <w:t>*)</w:t>
      </w:r>
      <w:r w:rsidRPr="00F90FB6">
        <w:rPr>
          <w:rFonts w:ascii="Arial" w:hAnsi="Arial" w:cs="Arial"/>
          <w:sz w:val="20"/>
          <w:szCs w:val="20"/>
        </w:rPr>
        <w:tab/>
        <w:t xml:space="preserve">Corresponding author: Benyamin Lakitan, e-mail: </w:t>
      </w:r>
      <w:r w:rsidRPr="00F90FB6">
        <w:rPr>
          <w:rFonts w:ascii="Arial" w:hAnsi="Arial" w:cs="Arial"/>
          <w:bCs/>
          <w:sz w:val="20"/>
          <w:szCs w:val="20"/>
        </w:rPr>
        <w:t>blakitan60@unsri.ac.id</w:t>
      </w:r>
    </w:p>
    <w:p w:rsidR="004F415E" w:rsidRDefault="004F415E" w:rsidP="00A15B14">
      <w:pPr>
        <w:pStyle w:val="ListParagraph"/>
        <w:spacing w:line="360" w:lineRule="auto"/>
        <w:ind w:left="0"/>
        <w:contextualSpacing w:val="0"/>
        <w:rPr>
          <w:rFonts w:ascii="Arial" w:hAnsi="Arial" w:cs="Arial"/>
          <w:b/>
          <w:sz w:val="20"/>
          <w:szCs w:val="20"/>
        </w:rPr>
      </w:pPr>
    </w:p>
    <w:p w:rsidR="004F415E" w:rsidRDefault="004F415E" w:rsidP="004F415E">
      <w:pPr>
        <w:pStyle w:val="ListParagraph"/>
        <w:spacing w:line="360" w:lineRule="auto"/>
        <w:ind w:left="0"/>
        <w:contextualSpacing w:val="0"/>
        <w:jc w:val="center"/>
        <w:rPr>
          <w:rFonts w:ascii="Arial" w:hAnsi="Arial" w:cs="Arial"/>
          <w:b/>
          <w:sz w:val="20"/>
          <w:szCs w:val="20"/>
        </w:rPr>
      </w:pPr>
      <w:r w:rsidRPr="00234615">
        <w:rPr>
          <w:rFonts w:ascii="Arial" w:hAnsi="Arial" w:cs="Arial"/>
          <w:b/>
          <w:sz w:val="20"/>
          <w:szCs w:val="20"/>
        </w:rPr>
        <w:t>ABSTRACT</w:t>
      </w:r>
    </w:p>
    <w:p w:rsidR="004F415E" w:rsidRDefault="004F415E" w:rsidP="004F415E">
      <w:pPr>
        <w:pStyle w:val="ListParagraph"/>
        <w:spacing w:after="0" w:line="360" w:lineRule="auto"/>
        <w:ind w:left="0"/>
        <w:jc w:val="both"/>
        <w:rPr>
          <w:rFonts w:ascii="Arial" w:hAnsi="Arial" w:cs="Arial"/>
          <w:color w:val="000000"/>
          <w:sz w:val="20"/>
          <w:szCs w:val="20"/>
        </w:rPr>
      </w:pPr>
      <w:r w:rsidRPr="00D6479F">
        <w:rPr>
          <w:rFonts w:ascii="Arial" w:hAnsi="Arial" w:cs="Arial"/>
          <w:sz w:val="20"/>
          <w:szCs w:val="20"/>
        </w:rPr>
        <w:t xml:space="preserve">Shallow water table (SWT) is </w:t>
      </w:r>
      <w:r>
        <w:rPr>
          <w:rFonts w:ascii="Arial" w:hAnsi="Arial" w:cs="Arial"/>
          <w:sz w:val="20"/>
          <w:szCs w:val="20"/>
        </w:rPr>
        <w:t>an acute</w:t>
      </w:r>
      <w:r w:rsidRPr="00D6479F">
        <w:rPr>
          <w:rFonts w:ascii="Arial" w:hAnsi="Arial" w:cs="Arial"/>
          <w:sz w:val="20"/>
          <w:szCs w:val="20"/>
        </w:rPr>
        <w:t xml:space="preserve"> problem in cultivating vegetables at riparian wetland</w:t>
      </w:r>
      <w:r>
        <w:rPr>
          <w:rFonts w:ascii="Arial" w:hAnsi="Arial" w:cs="Arial"/>
          <w:sz w:val="20"/>
          <w:szCs w:val="20"/>
        </w:rPr>
        <w:t xml:space="preserve"> during transitional period from dry to rainy season</w:t>
      </w:r>
      <w:r w:rsidRPr="00D6479F">
        <w:rPr>
          <w:rFonts w:ascii="Arial" w:hAnsi="Arial" w:cs="Arial"/>
          <w:sz w:val="20"/>
          <w:szCs w:val="20"/>
        </w:rPr>
        <w:t xml:space="preserve"> since it</w:t>
      </w:r>
      <w:r>
        <w:rPr>
          <w:rFonts w:ascii="Arial" w:hAnsi="Arial" w:cs="Arial"/>
          <w:sz w:val="20"/>
          <w:szCs w:val="20"/>
        </w:rPr>
        <w:t xml:space="preserve"> reduces volume of aerobic rhizosphere and limits oxygen availability. Meanwhile, </w:t>
      </w:r>
      <w:r w:rsidRPr="009A0C8F">
        <w:rPr>
          <w:rFonts w:ascii="Arial" w:hAnsi="Arial" w:cs="Arial"/>
          <w:sz w:val="20"/>
          <w:szCs w:val="20"/>
        </w:rPr>
        <w:t>5-aminolevulinic acid</w:t>
      </w:r>
      <w:r w:rsidRPr="00D6479F">
        <w:rPr>
          <w:rFonts w:ascii="Arial" w:hAnsi="Arial" w:cs="Arial"/>
          <w:sz w:val="20"/>
          <w:szCs w:val="20"/>
        </w:rPr>
        <w:t xml:space="preserve"> </w:t>
      </w:r>
      <w:r>
        <w:rPr>
          <w:rFonts w:ascii="Arial" w:hAnsi="Arial" w:cs="Arial"/>
          <w:sz w:val="20"/>
          <w:szCs w:val="20"/>
        </w:rPr>
        <w:t>(</w:t>
      </w:r>
      <w:r w:rsidRPr="00D6479F">
        <w:rPr>
          <w:rFonts w:ascii="Arial" w:hAnsi="Arial" w:cs="Arial"/>
          <w:sz w:val="20"/>
          <w:szCs w:val="20"/>
        </w:rPr>
        <w:t>ALA</w:t>
      </w:r>
      <w:r>
        <w:rPr>
          <w:rFonts w:ascii="Arial" w:hAnsi="Arial" w:cs="Arial"/>
          <w:sz w:val="20"/>
          <w:szCs w:val="20"/>
        </w:rPr>
        <w:t>)</w:t>
      </w:r>
      <w:r w:rsidRPr="00D6479F">
        <w:rPr>
          <w:rFonts w:ascii="Arial" w:hAnsi="Arial" w:cs="Arial"/>
          <w:sz w:val="20"/>
          <w:szCs w:val="20"/>
        </w:rPr>
        <w:t xml:space="preserve"> is known as one of plant regulators</w:t>
      </w:r>
      <w:r>
        <w:rPr>
          <w:rFonts w:ascii="Arial" w:hAnsi="Arial" w:cs="Arial"/>
          <w:sz w:val="20"/>
          <w:szCs w:val="20"/>
        </w:rPr>
        <w:t>,</w:t>
      </w:r>
      <w:r w:rsidRPr="00D6479F">
        <w:rPr>
          <w:rFonts w:ascii="Arial" w:hAnsi="Arial" w:cs="Arial"/>
          <w:sz w:val="20"/>
          <w:szCs w:val="20"/>
        </w:rPr>
        <w:t xml:space="preserve"> </w:t>
      </w:r>
      <w:r w:rsidRPr="00D6479F">
        <w:rPr>
          <w:rFonts w:ascii="Arial" w:hAnsi="Arial" w:cs="Arial"/>
          <w:color w:val="000000"/>
          <w:sz w:val="20"/>
          <w:szCs w:val="20"/>
        </w:rPr>
        <w:t xml:space="preserve">effective in </w:t>
      </w:r>
      <w:r>
        <w:rPr>
          <w:rFonts w:ascii="Arial" w:hAnsi="Arial" w:cs="Arial"/>
          <w:color w:val="000000"/>
          <w:sz w:val="20"/>
          <w:szCs w:val="20"/>
        </w:rPr>
        <w:t>offset</w:t>
      </w:r>
      <w:r w:rsidRPr="00D6479F">
        <w:rPr>
          <w:rFonts w:ascii="Arial" w:hAnsi="Arial" w:cs="Arial"/>
          <w:color w:val="000000"/>
          <w:sz w:val="20"/>
          <w:szCs w:val="20"/>
        </w:rPr>
        <w:t xml:space="preserve"> the effects of abiotic stresses. The aim of this study was to evaluate </w:t>
      </w:r>
      <w:r w:rsidRPr="00D6479F">
        <w:rPr>
          <w:rFonts w:ascii="Arial" w:hAnsi="Arial" w:cs="Arial"/>
          <w:color w:val="231F20"/>
          <w:sz w:val="20"/>
          <w:szCs w:val="20"/>
        </w:rPr>
        <w:t>effect</w:t>
      </w:r>
      <w:r>
        <w:rPr>
          <w:rFonts w:ascii="Arial" w:hAnsi="Arial" w:cs="Arial"/>
          <w:color w:val="231F20"/>
          <w:sz w:val="20"/>
          <w:szCs w:val="20"/>
        </w:rPr>
        <w:t>iveness</w:t>
      </w:r>
      <w:r w:rsidRPr="00D6479F">
        <w:rPr>
          <w:rFonts w:ascii="Arial" w:hAnsi="Arial" w:cs="Arial"/>
          <w:color w:val="231F20"/>
          <w:sz w:val="20"/>
          <w:szCs w:val="20"/>
        </w:rPr>
        <w:t xml:space="preserve"> of ALA application</w:t>
      </w:r>
      <w:r>
        <w:rPr>
          <w:rFonts w:ascii="Arial" w:hAnsi="Arial" w:cs="Arial"/>
          <w:color w:val="231F20"/>
          <w:sz w:val="20"/>
          <w:szCs w:val="20"/>
        </w:rPr>
        <w:t xml:space="preserve"> at different</w:t>
      </w:r>
      <w:r w:rsidRPr="00D6479F">
        <w:rPr>
          <w:rFonts w:ascii="Arial" w:hAnsi="Arial" w:cs="Arial"/>
          <w:color w:val="231F20"/>
          <w:sz w:val="20"/>
          <w:szCs w:val="20"/>
        </w:rPr>
        <w:t xml:space="preserve"> timing</w:t>
      </w:r>
      <w:r>
        <w:rPr>
          <w:rFonts w:ascii="Arial" w:hAnsi="Arial" w:cs="Arial"/>
          <w:color w:val="231F20"/>
          <w:sz w:val="20"/>
          <w:szCs w:val="20"/>
        </w:rPr>
        <w:t>s before and during continuous 20-day SWT exposure</w:t>
      </w:r>
      <w:r w:rsidRPr="00D6479F">
        <w:rPr>
          <w:rFonts w:ascii="Arial" w:hAnsi="Arial" w:cs="Arial"/>
          <w:color w:val="231F20"/>
          <w:sz w:val="20"/>
          <w:szCs w:val="20"/>
        </w:rPr>
        <w:t xml:space="preserve"> </w:t>
      </w:r>
      <w:r>
        <w:rPr>
          <w:rFonts w:ascii="Arial" w:hAnsi="Arial" w:cs="Arial"/>
          <w:color w:val="231F20"/>
          <w:sz w:val="20"/>
          <w:szCs w:val="20"/>
        </w:rPr>
        <w:t>to</w:t>
      </w:r>
      <w:r w:rsidRPr="00D6479F">
        <w:rPr>
          <w:rFonts w:ascii="Arial" w:hAnsi="Arial" w:cs="Arial"/>
          <w:color w:val="231F20"/>
          <w:sz w:val="20"/>
          <w:szCs w:val="20"/>
        </w:rPr>
        <w:t xml:space="preserve"> common bean plants</w:t>
      </w:r>
      <w:r>
        <w:rPr>
          <w:rFonts w:ascii="Arial" w:hAnsi="Arial" w:cs="Arial"/>
          <w:color w:val="231F20"/>
          <w:sz w:val="20"/>
          <w:szCs w:val="20"/>
        </w:rPr>
        <w:t xml:space="preserve">. SWT exposures were set at </w:t>
      </w:r>
      <w:r>
        <w:rPr>
          <w:rFonts w:ascii="Arial" w:hAnsi="Arial" w:cs="Arial"/>
          <w:sz w:val="20"/>
          <w:szCs w:val="20"/>
        </w:rPr>
        <w:t xml:space="preserve">5 cm </w:t>
      </w:r>
      <w:r w:rsidRPr="009A0C8F">
        <w:rPr>
          <w:rFonts w:ascii="Arial" w:hAnsi="Arial" w:cs="Arial"/>
          <w:sz w:val="20"/>
          <w:szCs w:val="20"/>
        </w:rPr>
        <w:t>(W</w:t>
      </w:r>
      <w:r w:rsidRPr="009A0C8F">
        <w:rPr>
          <w:rFonts w:ascii="Arial" w:hAnsi="Arial" w:cs="Arial"/>
          <w:sz w:val="20"/>
          <w:szCs w:val="20"/>
          <w:vertAlign w:val="subscript"/>
        </w:rPr>
        <w:t>-5</w:t>
      </w:r>
      <w:r w:rsidRPr="009A0C8F">
        <w:rPr>
          <w:rFonts w:ascii="Arial" w:hAnsi="Arial" w:cs="Arial"/>
          <w:sz w:val="20"/>
          <w:szCs w:val="20"/>
        </w:rPr>
        <w:t>)</w:t>
      </w:r>
      <w:r>
        <w:rPr>
          <w:rFonts w:ascii="Arial" w:hAnsi="Arial" w:cs="Arial"/>
          <w:sz w:val="20"/>
          <w:szCs w:val="20"/>
        </w:rPr>
        <w:t xml:space="preserve">, 10 cm </w:t>
      </w:r>
      <w:r w:rsidRPr="009A0C8F">
        <w:rPr>
          <w:rFonts w:ascii="Arial" w:hAnsi="Arial" w:cs="Arial"/>
          <w:sz w:val="20"/>
          <w:szCs w:val="20"/>
        </w:rPr>
        <w:t>(W</w:t>
      </w:r>
      <w:r w:rsidRPr="009A0C8F">
        <w:rPr>
          <w:rFonts w:ascii="Arial" w:hAnsi="Arial" w:cs="Arial"/>
          <w:sz w:val="20"/>
          <w:szCs w:val="20"/>
          <w:vertAlign w:val="subscript"/>
        </w:rPr>
        <w:t>-10</w:t>
      </w:r>
      <w:r w:rsidRPr="009A0C8F">
        <w:rPr>
          <w:rFonts w:ascii="Arial" w:hAnsi="Arial" w:cs="Arial"/>
          <w:sz w:val="20"/>
          <w:szCs w:val="20"/>
        </w:rPr>
        <w:t>)</w:t>
      </w:r>
      <w:r>
        <w:rPr>
          <w:rFonts w:ascii="Arial" w:hAnsi="Arial" w:cs="Arial"/>
          <w:sz w:val="20"/>
          <w:szCs w:val="20"/>
        </w:rPr>
        <w:t>, and 15 cm</w:t>
      </w:r>
      <w:r w:rsidRPr="009A0C8F">
        <w:rPr>
          <w:rFonts w:ascii="Arial" w:hAnsi="Arial" w:cs="Arial"/>
          <w:sz w:val="20"/>
          <w:szCs w:val="20"/>
        </w:rPr>
        <w:t xml:space="preserve"> (W</w:t>
      </w:r>
      <w:r w:rsidRPr="009A0C8F">
        <w:rPr>
          <w:rFonts w:ascii="Arial" w:hAnsi="Arial" w:cs="Arial"/>
          <w:sz w:val="20"/>
          <w:szCs w:val="20"/>
          <w:vertAlign w:val="subscript"/>
        </w:rPr>
        <w:t>-15</w:t>
      </w:r>
      <w:r w:rsidRPr="009A0C8F">
        <w:rPr>
          <w:rFonts w:ascii="Arial" w:hAnsi="Arial" w:cs="Arial"/>
          <w:sz w:val="20"/>
          <w:szCs w:val="20"/>
        </w:rPr>
        <w:t>)</w:t>
      </w:r>
      <w:r>
        <w:rPr>
          <w:rFonts w:ascii="Arial" w:hAnsi="Arial" w:cs="Arial"/>
          <w:sz w:val="20"/>
          <w:szCs w:val="20"/>
        </w:rPr>
        <w:t xml:space="preserve"> below substrate surface.</w:t>
      </w:r>
      <w:r w:rsidRPr="00D6479F">
        <w:rPr>
          <w:rFonts w:ascii="Arial" w:hAnsi="Arial" w:cs="Arial"/>
          <w:color w:val="000000"/>
          <w:sz w:val="20"/>
          <w:szCs w:val="20"/>
        </w:rPr>
        <w:t xml:space="preserve"> ALA application</w:t>
      </w:r>
      <w:r>
        <w:rPr>
          <w:rFonts w:ascii="Arial" w:hAnsi="Arial" w:cs="Arial"/>
          <w:color w:val="000000"/>
          <w:sz w:val="20"/>
          <w:szCs w:val="20"/>
        </w:rPr>
        <w:t>s were at</w:t>
      </w:r>
      <w:r w:rsidRPr="00D6479F">
        <w:rPr>
          <w:rFonts w:ascii="Arial" w:hAnsi="Arial" w:cs="Arial"/>
          <w:color w:val="000000"/>
          <w:sz w:val="20"/>
          <w:szCs w:val="20"/>
        </w:rPr>
        <w:t xml:space="preserve"> </w:t>
      </w:r>
      <w:r>
        <w:rPr>
          <w:rFonts w:ascii="Arial" w:hAnsi="Arial" w:cs="Arial"/>
          <w:color w:val="000000"/>
          <w:sz w:val="20"/>
          <w:szCs w:val="20"/>
        </w:rPr>
        <w:t>4 days before SWT initiation</w:t>
      </w:r>
      <w:r w:rsidRPr="00D6479F">
        <w:rPr>
          <w:rFonts w:ascii="Arial" w:hAnsi="Arial" w:cs="Arial"/>
          <w:color w:val="000000"/>
          <w:sz w:val="20"/>
          <w:szCs w:val="20"/>
        </w:rPr>
        <w:t xml:space="preserve"> (14 DAP</w:t>
      </w:r>
      <w:r>
        <w:rPr>
          <w:rFonts w:ascii="Arial" w:hAnsi="Arial" w:cs="Arial"/>
          <w:color w:val="000000"/>
          <w:sz w:val="20"/>
          <w:szCs w:val="20"/>
        </w:rPr>
        <w:t>)</w:t>
      </w:r>
      <w:r w:rsidRPr="00D6479F">
        <w:rPr>
          <w:rFonts w:ascii="Arial" w:hAnsi="Arial" w:cs="Arial"/>
          <w:color w:val="000000"/>
          <w:sz w:val="20"/>
          <w:szCs w:val="20"/>
        </w:rPr>
        <w:t xml:space="preserve">, </w:t>
      </w:r>
      <w:r>
        <w:rPr>
          <w:rFonts w:ascii="Arial" w:hAnsi="Arial" w:cs="Arial"/>
          <w:color w:val="000000"/>
          <w:sz w:val="20"/>
          <w:szCs w:val="20"/>
        </w:rPr>
        <w:t>middle of SWT exposure period (</w:t>
      </w:r>
      <w:r w:rsidRPr="00D6479F">
        <w:rPr>
          <w:rFonts w:ascii="Arial" w:hAnsi="Arial" w:cs="Arial"/>
          <w:color w:val="000000"/>
          <w:sz w:val="20"/>
          <w:szCs w:val="20"/>
        </w:rPr>
        <w:t>28 DAP</w:t>
      </w:r>
      <w:r>
        <w:rPr>
          <w:rFonts w:ascii="Arial" w:hAnsi="Arial" w:cs="Arial"/>
          <w:color w:val="000000"/>
          <w:sz w:val="20"/>
          <w:szCs w:val="20"/>
        </w:rPr>
        <w:t>)</w:t>
      </w:r>
      <w:r w:rsidRPr="00D6479F">
        <w:rPr>
          <w:rFonts w:ascii="Arial" w:hAnsi="Arial" w:cs="Arial"/>
          <w:color w:val="000000"/>
          <w:sz w:val="20"/>
          <w:szCs w:val="20"/>
        </w:rPr>
        <w:t>, and</w:t>
      </w:r>
      <w:r>
        <w:rPr>
          <w:rFonts w:ascii="Arial" w:hAnsi="Arial" w:cs="Arial"/>
          <w:color w:val="000000"/>
          <w:sz w:val="20"/>
          <w:szCs w:val="20"/>
        </w:rPr>
        <w:t xml:space="preserve"> at end of SWT exposure</w:t>
      </w:r>
      <w:r w:rsidRPr="00D6479F">
        <w:rPr>
          <w:rFonts w:ascii="Arial" w:hAnsi="Arial" w:cs="Arial"/>
          <w:color w:val="000000"/>
          <w:sz w:val="20"/>
          <w:szCs w:val="20"/>
        </w:rPr>
        <w:t xml:space="preserve"> </w:t>
      </w:r>
      <w:r>
        <w:rPr>
          <w:rFonts w:ascii="Arial" w:hAnsi="Arial" w:cs="Arial"/>
          <w:color w:val="000000"/>
          <w:sz w:val="20"/>
          <w:szCs w:val="20"/>
        </w:rPr>
        <w:t>(</w:t>
      </w:r>
      <w:r w:rsidRPr="00D6479F">
        <w:rPr>
          <w:rFonts w:ascii="Arial" w:hAnsi="Arial" w:cs="Arial"/>
          <w:color w:val="000000"/>
          <w:sz w:val="20"/>
          <w:szCs w:val="20"/>
        </w:rPr>
        <w:t>38 DAP)</w:t>
      </w:r>
      <w:r>
        <w:rPr>
          <w:rFonts w:ascii="Arial" w:hAnsi="Arial" w:cs="Arial"/>
          <w:color w:val="000000"/>
          <w:sz w:val="20"/>
          <w:szCs w:val="20"/>
        </w:rPr>
        <w:t xml:space="preserve">. Results of this study indicated that </w:t>
      </w:r>
      <w:r>
        <w:rPr>
          <w:rFonts w:ascii="Arial" w:hAnsi="Arial" w:cs="Arial"/>
          <w:sz w:val="20"/>
          <w:szCs w:val="20"/>
        </w:rPr>
        <w:t>SWT exposure affected growth of shoots and roots, leaf water status, proline content, and SPAD value</w:t>
      </w:r>
      <w:r w:rsidRPr="00936965">
        <w:rPr>
          <w:rFonts w:ascii="Arial" w:hAnsi="Arial" w:cs="Arial"/>
          <w:sz w:val="20"/>
          <w:szCs w:val="20"/>
        </w:rPr>
        <w:t xml:space="preserve"> </w:t>
      </w:r>
      <w:r>
        <w:rPr>
          <w:rFonts w:ascii="Arial" w:hAnsi="Arial" w:cs="Arial"/>
          <w:sz w:val="20"/>
          <w:szCs w:val="20"/>
        </w:rPr>
        <w:t>in bean plant. Shallowest water table (</w:t>
      </w:r>
      <w:r w:rsidRPr="00205A6B">
        <w:rPr>
          <w:rFonts w:ascii="Arial" w:hAnsi="Arial" w:cs="Arial"/>
          <w:sz w:val="20"/>
          <w:szCs w:val="20"/>
        </w:rPr>
        <w:t>SWT</w:t>
      </w:r>
      <w:r w:rsidRPr="00205A6B">
        <w:rPr>
          <w:rFonts w:ascii="Arial" w:hAnsi="Arial" w:cs="Arial"/>
          <w:sz w:val="20"/>
          <w:szCs w:val="20"/>
          <w:vertAlign w:val="subscript"/>
        </w:rPr>
        <w:t>-5</w:t>
      </w:r>
      <w:r w:rsidRPr="00205A6B">
        <w:rPr>
          <w:rFonts w:ascii="Arial" w:hAnsi="Arial" w:cs="Arial"/>
          <w:sz w:val="20"/>
          <w:szCs w:val="20"/>
        </w:rPr>
        <w:t>)</w:t>
      </w:r>
      <w:r>
        <w:rPr>
          <w:rFonts w:ascii="Arial" w:hAnsi="Arial" w:cs="Arial"/>
          <w:sz w:val="20"/>
          <w:szCs w:val="20"/>
        </w:rPr>
        <w:t xml:space="preserve"> caused the most severe effect. Effectiveness of ALA application was varied, depending on time differences between ALA application and initiation of SWT exposure. ALA application did not significantly improve recoverability of bean plants after SWT exposure was terminated.</w:t>
      </w:r>
    </w:p>
    <w:p w:rsidR="004F415E" w:rsidRDefault="004F415E" w:rsidP="004F415E">
      <w:pPr>
        <w:pStyle w:val="ListParagraph"/>
        <w:spacing w:line="360" w:lineRule="auto"/>
        <w:ind w:left="0"/>
        <w:contextualSpacing w:val="0"/>
        <w:jc w:val="both"/>
        <w:rPr>
          <w:rFonts w:ascii="Arial" w:hAnsi="Arial" w:cs="Arial"/>
          <w:color w:val="000000"/>
          <w:sz w:val="20"/>
          <w:szCs w:val="20"/>
        </w:rPr>
      </w:pPr>
    </w:p>
    <w:p w:rsidR="004F415E" w:rsidRPr="002F422E" w:rsidRDefault="004F415E" w:rsidP="004F415E">
      <w:pPr>
        <w:pStyle w:val="ListParagraph"/>
        <w:spacing w:line="360" w:lineRule="auto"/>
        <w:ind w:left="0"/>
        <w:contextualSpacing w:val="0"/>
        <w:jc w:val="center"/>
        <w:rPr>
          <w:rFonts w:ascii="Arial" w:hAnsi="Arial" w:cs="Arial"/>
          <w:b/>
          <w:sz w:val="20"/>
          <w:szCs w:val="20"/>
        </w:rPr>
      </w:pPr>
      <w:r w:rsidRPr="00234615">
        <w:rPr>
          <w:rFonts w:ascii="Arial" w:hAnsi="Arial" w:cs="Arial"/>
          <w:b/>
          <w:sz w:val="20"/>
          <w:szCs w:val="20"/>
        </w:rPr>
        <w:t>KEYWORDS</w:t>
      </w:r>
    </w:p>
    <w:p w:rsidR="004F415E" w:rsidRDefault="004F415E" w:rsidP="004F415E">
      <w:pPr>
        <w:spacing w:after="0" w:line="360" w:lineRule="auto"/>
        <w:jc w:val="both"/>
        <w:rPr>
          <w:rFonts w:ascii="Arial" w:hAnsi="Arial" w:cs="Arial"/>
          <w:sz w:val="20"/>
          <w:szCs w:val="20"/>
        </w:rPr>
      </w:pPr>
      <w:r>
        <w:rPr>
          <w:rFonts w:ascii="Arial" w:hAnsi="Arial" w:cs="Arial"/>
          <w:sz w:val="20"/>
          <w:szCs w:val="20"/>
        </w:rPr>
        <w:t>Abiotic stress, growth analysis, proline, riparian wetlands, vegetable production.</w:t>
      </w:r>
    </w:p>
    <w:p w:rsidR="00A15B14" w:rsidRDefault="00A15B14">
      <w:pPr>
        <w:spacing w:after="160" w:line="259" w:lineRule="auto"/>
        <w:rPr>
          <w:rFonts w:ascii="Arial" w:hAnsi="Arial" w:cs="Arial"/>
          <w:b/>
          <w:sz w:val="20"/>
          <w:szCs w:val="20"/>
        </w:rPr>
      </w:pPr>
      <w:r>
        <w:rPr>
          <w:rFonts w:ascii="Arial" w:hAnsi="Arial" w:cs="Arial"/>
          <w:b/>
          <w:sz w:val="20"/>
          <w:szCs w:val="20"/>
        </w:rPr>
        <w:br w:type="page"/>
      </w:r>
    </w:p>
    <w:p w:rsidR="004F415E" w:rsidRDefault="004F415E" w:rsidP="004F415E">
      <w:pPr>
        <w:spacing w:line="360" w:lineRule="auto"/>
        <w:jc w:val="center"/>
        <w:rPr>
          <w:rFonts w:ascii="Arial" w:hAnsi="Arial" w:cs="Arial"/>
          <w:b/>
          <w:sz w:val="20"/>
          <w:szCs w:val="20"/>
        </w:rPr>
      </w:pPr>
      <w:r w:rsidRPr="00AB4340">
        <w:rPr>
          <w:rFonts w:ascii="Arial" w:hAnsi="Arial" w:cs="Arial"/>
          <w:b/>
          <w:sz w:val="20"/>
          <w:szCs w:val="20"/>
        </w:rPr>
        <w:lastRenderedPageBreak/>
        <w:t>INTRODUCTION</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Increasing food production is a global challenge as population continue to increase, especially in densely populated and land limited developing nations. Wetlands have been the last option for agriculture activity due to low soil fertility, risk of heavy metal toxicity to crops, problematic water management, expensive investment in agricultural infrastructure development, limited adaptable crops, and uncertain impacts on the ecosystem. At present, tidal wetlands have been more intensively cultivated than riparian wetlands in Indonesia. Most of riparian wetlands have only been cultivated with one rice crop annually. Since increase in food demand is inevitable in the future; therefore, knowledge and technology for intensifying food production at the riparian wetlands should be well prepared.</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The riparian wetlands have two extreme limitations for expanding crop growing season, i.e. flooding and dry period. Local smallholder farmers grow rice at end of flooding period as floodwater has subsided to a depth of less than 15 cm (Lakitan et al., 2019). Based on length of annual flooding period, riparian wetlands are classified as short (&lt;3 months), medium (3-6 months), and long (&gt;6 months) flooding period. Main reason for local farmers to start growing rice as early as possible is to avoid drought condition during reproductive stage at riparian wetlands with short flooding period, or to avoid shallow water table or early flooding at riparian wetlands with long flooding period.</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Vegetable cultivation during flooding period has been introduced to local famers and proven to be possible using floating culture systems (Jaya, Lakitan, &amp; Sodikin, 2019). One to three crops of short-life-cycle vegetables can be grown during flooding, depending on length of flooding period. Successful corn cultivation during dry season at short flooding (meaning long dry season) riparian wetlands has also been reported by </w:t>
      </w:r>
      <w:r w:rsidRPr="004C41E0">
        <w:rPr>
          <w:rFonts w:ascii="Arial" w:hAnsi="Arial" w:cs="Arial"/>
          <w:sz w:val="20"/>
          <w:szCs w:val="20"/>
        </w:rPr>
        <w:t>Bakri, Imanudin, &amp; Bernas, (2015) using dual-function</w:t>
      </w:r>
      <w:r>
        <w:rPr>
          <w:rFonts w:ascii="Arial" w:hAnsi="Arial" w:cs="Arial"/>
          <w:sz w:val="20"/>
          <w:szCs w:val="20"/>
        </w:rPr>
        <w:t xml:space="preserve"> subsurface piping installation for discharging excess water during wet season and maintaining water table at depth of 50 cm below soil surface during dry season. For a continuous year-long cultivation cycle at riparian wetlands, there is transitional period from end of dry to early rainy season to be covered. During this transitional period, occurrence of shallow water table can cause severe yield loss, and at worst case, can cause total failure.</w:t>
      </w:r>
    </w:p>
    <w:p w:rsidR="004F415E" w:rsidRPr="004C48C4" w:rsidRDefault="004F415E" w:rsidP="004F415E">
      <w:pPr>
        <w:autoSpaceDE w:val="0"/>
        <w:autoSpaceDN w:val="0"/>
        <w:adjustRightInd w:val="0"/>
        <w:spacing w:before="120" w:after="120" w:line="360" w:lineRule="auto"/>
        <w:jc w:val="both"/>
        <w:rPr>
          <w:rFonts w:ascii="Arial" w:hAnsi="Arial" w:cs="Arial"/>
          <w:sz w:val="20"/>
          <w:szCs w:val="20"/>
        </w:rPr>
      </w:pPr>
      <w:r w:rsidRPr="004C48C4">
        <w:rPr>
          <w:rFonts w:ascii="Arial" w:hAnsi="Arial" w:cs="Arial"/>
          <w:sz w:val="20"/>
          <w:szCs w:val="20"/>
        </w:rPr>
        <w:t>Results of many studies indicated that 5-aminolevulinic acid (ALA), a natural plant growth regulator, was effective in alleviating negative effects of various abiotic stresses in plants (Akram &amp; Ashraf, 2013; Anwar, Yan, Liu, Li, &amp; Yu, 2018) or for enhancing plant resistance to stress (Wu, Liao, Dawuda, Hu, &amp; Yu, 2018). ALA can be applied exogenously.</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This research was focused of improving common bean (</w:t>
      </w:r>
      <w:r w:rsidRPr="00265711">
        <w:rPr>
          <w:rFonts w:ascii="Arial" w:hAnsi="Arial" w:cs="Arial"/>
          <w:i/>
          <w:sz w:val="20"/>
          <w:szCs w:val="20"/>
        </w:rPr>
        <w:t>Phaseolus vulgaris</w:t>
      </w:r>
      <w:r>
        <w:rPr>
          <w:rFonts w:ascii="Arial" w:hAnsi="Arial" w:cs="Arial"/>
          <w:sz w:val="20"/>
          <w:szCs w:val="20"/>
        </w:rPr>
        <w:t xml:space="preserve"> L.) survivability under unfavorable shallow water table (SWT) conditions by application of </w:t>
      </w:r>
      <w:r w:rsidRPr="009A0C8F">
        <w:rPr>
          <w:rFonts w:ascii="Arial" w:hAnsi="Arial" w:cs="Arial"/>
          <w:sz w:val="20"/>
          <w:szCs w:val="20"/>
        </w:rPr>
        <w:t>5-aminolevulinic acid (ALA)</w:t>
      </w:r>
      <w:r>
        <w:rPr>
          <w:rFonts w:ascii="Arial" w:hAnsi="Arial" w:cs="Arial"/>
          <w:sz w:val="20"/>
          <w:szCs w:val="20"/>
        </w:rPr>
        <w:t xml:space="preserve">. At riparian wetlands, the SWT condition occurs soon after floodwater subsided and during early rainy season. Time-wise, these two transitional periods can be grown with short life cycle vegetables, such as common bean. A success in crop cultivation during these transitional periods will complete fundamental knowledge on the full annual cycle of crop cultivation at the riparian wetlands. However, more ‘fine-tuning’ researches are </w:t>
      </w:r>
      <w:r>
        <w:rPr>
          <w:rFonts w:ascii="Arial" w:hAnsi="Arial" w:cs="Arial"/>
          <w:sz w:val="20"/>
          <w:szCs w:val="20"/>
        </w:rPr>
        <w:lastRenderedPageBreak/>
        <w:t>required for increasing reliability and case-specific scenario for intensifying food production at riparian wetlands in Indonesia.</w:t>
      </w:r>
    </w:p>
    <w:p w:rsidR="004F415E" w:rsidRDefault="004F415E" w:rsidP="004F415E">
      <w:pPr>
        <w:autoSpaceDE w:val="0"/>
        <w:autoSpaceDN w:val="0"/>
        <w:adjustRightInd w:val="0"/>
        <w:spacing w:before="120" w:after="120" w:line="360" w:lineRule="auto"/>
        <w:jc w:val="both"/>
        <w:rPr>
          <w:rFonts w:ascii="Arial" w:hAnsi="Arial" w:cs="Arial"/>
          <w:sz w:val="20"/>
          <w:szCs w:val="20"/>
        </w:rPr>
      </w:pPr>
    </w:p>
    <w:p w:rsidR="004F415E" w:rsidRDefault="004F415E" w:rsidP="004F415E">
      <w:pPr>
        <w:autoSpaceDE w:val="0"/>
        <w:autoSpaceDN w:val="0"/>
        <w:adjustRightInd w:val="0"/>
        <w:spacing w:line="360" w:lineRule="auto"/>
        <w:jc w:val="center"/>
        <w:rPr>
          <w:rFonts w:ascii="Arial" w:hAnsi="Arial" w:cs="Arial"/>
          <w:b/>
          <w:sz w:val="20"/>
          <w:szCs w:val="20"/>
        </w:rPr>
      </w:pPr>
      <w:r w:rsidRPr="00234615">
        <w:rPr>
          <w:rFonts w:ascii="Arial" w:hAnsi="Arial" w:cs="Arial"/>
          <w:b/>
          <w:sz w:val="20"/>
          <w:szCs w:val="20"/>
        </w:rPr>
        <w:t>MATERIALS AND METHODS</w:t>
      </w:r>
    </w:p>
    <w:p w:rsidR="004F415E" w:rsidRDefault="004F415E" w:rsidP="004F415E">
      <w:pPr>
        <w:spacing w:before="120" w:after="120" w:line="360" w:lineRule="auto"/>
        <w:jc w:val="both"/>
        <w:rPr>
          <w:rFonts w:ascii="Arial" w:hAnsi="Arial" w:cs="Arial"/>
          <w:sz w:val="20"/>
          <w:szCs w:val="20"/>
        </w:rPr>
      </w:pPr>
      <w:r w:rsidRPr="009E29FC">
        <w:rPr>
          <w:rFonts w:ascii="Arial" w:hAnsi="Arial" w:cs="Arial"/>
          <w:sz w:val="20"/>
          <w:szCs w:val="20"/>
        </w:rPr>
        <w:t>The pot experiment was conducted at an off- campus research facilities at Jakabaring (104</w:t>
      </w:r>
      <w:r w:rsidRPr="009E29FC">
        <w:rPr>
          <w:rFonts w:ascii="Arial" w:hAnsi="Arial" w:cs="Arial"/>
          <w:sz w:val="20"/>
          <w:szCs w:val="20"/>
          <w:vertAlign w:val="superscript"/>
        </w:rPr>
        <w:t>o</w:t>
      </w:r>
      <w:r w:rsidRPr="009E29FC">
        <w:rPr>
          <w:rFonts w:ascii="Arial" w:hAnsi="Arial" w:cs="Arial"/>
          <w:sz w:val="20"/>
          <w:szCs w:val="20"/>
        </w:rPr>
        <w:t>46’43.6” E; 3</w:t>
      </w:r>
      <w:r w:rsidRPr="009E29FC">
        <w:rPr>
          <w:rFonts w:ascii="Arial" w:hAnsi="Arial" w:cs="Arial"/>
          <w:sz w:val="20"/>
          <w:szCs w:val="20"/>
          <w:vertAlign w:val="superscript"/>
        </w:rPr>
        <w:t>o</w:t>
      </w:r>
      <w:r w:rsidRPr="009E29FC">
        <w:rPr>
          <w:rFonts w:ascii="Arial" w:hAnsi="Arial" w:cs="Arial"/>
          <w:sz w:val="20"/>
          <w:szCs w:val="20"/>
        </w:rPr>
        <w:t>01’35.4”S) in Pa</w:t>
      </w:r>
      <w:r>
        <w:rPr>
          <w:rFonts w:ascii="Arial" w:hAnsi="Arial" w:cs="Arial"/>
          <w:sz w:val="20"/>
          <w:szCs w:val="20"/>
        </w:rPr>
        <w:t>lembang, Indonesia, from August</w:t>
      </w:r>
      <w:r w:rsidRPr="009E29FC">
        <w:rPr>
          <w:rFonts w:ascii="Arial" w:hAnsi="Arial" w:cs="Arial"/>
          <w:sz w:val="20"/>
          <w:szCs w:val="20"/>
        </w:rPr>
        <w:t xml:space="preserve"> to October 2018. The experiment was done in </w:t>
      </w:r>
      <w:r>
        <w:rPr>
          <w:rFonts w:ascii="Arial" w:hAnsi="Arial" w:cs="Arial"/>
          <w:sz w:val="20"/>
          <w:szCs w:val="20"/>
        </w:rPr>
        <w:t>wet-culture</w:t>
      </w:r>
      <w:r w:rsidRPr="009E29FC">
        <w:rPr>
          <w:rFonts w:ascii="Arial" w:hAnsi="Arial" w:cs="Arial"/>
          <w:sz w:val="20"/>
          <w:szCs w:val="20"/>
        </w:rPr>
        <w:t xml:space="preserve"> pool</w:t>
      </w:r>
      <w:r>
        <w:rPr>
          <w:rFonts w:ascii="Arial" w:hAnsi="Arial" w:cs="Arial"/>
          <w:sz w:val="20"/>
          <w:szCs w:val="20"/>
        </w:rPr>
        <w:t xml:space="preserve">s with three </w:t>
      </w:r>
      <w:r w:rsidRPr="009E29FC">
        <w:rPr>
          <w:rFonts w:ascii="Arial" w:hAnsi="Arial" w:cs="Arial"/>
          <w:sz w:val="20"/>
          <w:szCs w:val="20"/>
        </w:rPr>
        <w:t xml:space="preserve">shallow water </w:t>
      </w:r>
      <w:r>
        <w:rPr>
          <w:rFonts w:ascii="Arial" w:hAnsi="Arial" w:cs="Arial"/>
          <w:sz w:val="20"/>
          <w:szCs w:val="20"/>
        </w:rPr>
        <w:t>table regimes. Bushy common bean</w:t>
      </w:r>
      <w:r w:rsidRPr="009E29FC">
        <w:rPr>
          <w:rFonts w:ascii="Arial" w:hAnsi="Arial" w:cs="Arial"/>
          <w:sz w:val="20"/>
          <w:szCs w:val="20"/>
        </w:rPr>
        <w:t xml:space="preserve"> (</w:t>
      </w:r>
      <w:r w:rsidRPr="009E29FC">
        <w:rPr>
          <w:rFonts w:ascii="Arial" w:hAnsi="Arial" w:cs="Arial"/>
          <w:i/>
          <w:sz w:val="20"/>
          <w:szCs w:val="20"/>
        </w:rPr>
        <w:t>Phaseolus vulgaris</w:t>
      </w:r>
      <w:r>
        <w:rPr>
          <w:rFonts w:ascii="Arial" w:hAnsi="Arial" w:cs="Arial"/>
          <w:sz w:val="20"/>
          <w:szCs w:val="20"/>
        </w:rPr>
        <w:t xml:space="preserve"> L.) variety of Ranti</w:t>
      </w:r>
      <w:r w:rsidRPr="009E29FC">
        <w:rPr>
          <w:rFonts w:ascii="Arial" w:hAnsi="Arial" w:cs="Arial"/>
          <w:sz w:val="20"/>
          <w:szCs w:val="20"/>
        </w:rPr>
        <w:t xml:space="preserve"> was used in this experiment. The size </w:t>
      </w:r>
      <w:r>
        <w:rPr>
          <w:rFonts w:ascii="Arial" w:hAnsi="Arial" w:cs="Arial"/>
          <w:sz w:val="20"/>
          <w:szCs w:val="20"/>
        </w:rPr>
        <w:t xml:space="preserve">of </w:t>
      </w:r>
      <w:r w:rsidRPr="009E29FC">
        <w:rPr>
          <w:rFonts w:ascii="Arial" w:hAnsi="Arial" w:cs="Arial"/>
          <w:sz w:val="20"/>
          <w:szCs w:val="20"/>
        </w:rPr>
        <w:t xml:space="preserve">pots </w:t>
      </w:r>
      <w:r>
        <w:rPr>
          <w:rFonts w:ascii="Arial" w:hAnsi="Arial" w:cs="Arial"/>
          <w:sz w:val="20"/>
          <w:szCs w:val="20"/>
        </w:rPr>
        <w:t xml:space="preserve">used was </w:t>
      </w:r>
      <w:r w:rsidRPr="009E29FC">
        <w:rPr>
          <w:rFonts w:ascii="Arial" w:hAnsi="Arial" w:cs="Arial"/>
          <w:sz w:val="20"/>
          <w:szCs w:val="20"/>
        </w:rPr>
        <w:t xml:space="preserve">25 cm </w:t>
      </w:r>
      <w:r>
        <w:rPr>
          <w:rFonts w:ascii="Arial" w:hAnsi="Arial" w:cs="Arial"/>
          <w:sz w:val="20"/>
          <w:szCs w:val="20"/>
        </w:rPr>
        <w:t>in diameter and 30 cm in height. All pots</w:t>
      </w:r>
      <w:r w:rsidRPr="009E29FC">
        <w:rPr>
          <w:rFonts w:ascii="Arial" w:hAnsi="Arial" w:cs="Arial"/>
          <w:sz w:val="20"/>
          <w:szCs w:val="20"/>
        </w:rPr>
        <w:t xml:space="preserve"> were filled with mixe</w:t>
      </w:r>
      <w:r>
        <w:rPr>
          <w:rFonts w:ascii="Arial" w:hAnsi="Arial" w:cs="Arial"/>
          <w:sz w:val="20"/>
          <w:szCs w:val="20"/>
        </w:rPr>
        <w:t>d substrate of soil and manure at ratio of 3:2 v/v</w:t>
      </w:r>
      <w:r w:rsidRPr="009E29FC">
        <w:rPr>
          <w:rFonts w:ascii="Arial" w:hAnsi="Arial" w:cs="Arial"/>
          <w:sz w:val="20"/>
          <w:szCs w:val="20"/>
        </w:rPr>
        <w:t xml:space="preserve"> to 25 cm </w:t>
      </w:r>
      <w:r>
        <w:rPr>
          <w:rFonts w:ascii="Arial" w:hAnsi="Arial" w:cs="Arial"/>
          <w:sz w:val="20"/>
          <w:szCs w:val="20"/>
        </w:rPr>
        <w:t>thickness, but the substrate settled on average at about 20 cm after subsidence during 18 days prior to SWT treatment</w:t>
      </w:r>
      <w:r w:rsidRPr="009E29FC">
        <w:rPr>
          <w:rFonts w:ascii="Arial" w:hAnsi="Arial" w:cs="Arial"/>
          <w:sz w:val="20"/>
          <w:szCs w:val="20"/>
        </w:rPr>
        <w:t xml:space="preserve">.  </w:t>
      </w:r>
    </w:p>
    <w:p w:rsidR="004F415E" w:rsidRDefault="004F415E" w:rsidP="004F415E">
      <w:pPr>
        <w:spacing w:before="120" w:after="120" w:line="360" w:lineRule="auto"/>
        <w:jc w:val="both"/>
        <w:rPr>
          <w:rFonts w:ascii="Arial" w:hAnsi="Arial" w:cs="Arial"/>
          <w:sz w:val="20"/>
          <w:szCs w:val="20"/>
        </w:rPr>
      </w:pPr>
      <w:r>
        <w:rPr>
          <w:rFonts w:ascii="Arial" w:hAnsi="Arial" w:cs="Arial"/>
          <w:sz w:val="20"/>
          <w:szCs w:val="20"/>
        </w:rPr>
        <w:t>The substrate</w:t>
      </w:r>
      <w:r w:rsidRPr="009E29FC">
        <w:rPr>
          <w:rFonts w:ascii="Arial" w:hAnsi="Arial" w:cs="Arial"/>
          <w:sz w:val="20"/>
          <w:szCs w:val="20"/>
        </w:rPr>
        <w:t xml:space="preserve"> was </w:t>
      </w:r>
      <w:r>
        <w:rPr>
          <w:rFonts w:ascii="Arial" w:hAnsi="Arial" w:cs="Arial"/>
          <w:sz w:val="20"/>
          <w:szCs w:val="20"/>
        </w:rPr>
        <w:t>treated with</w:t>
      </w:r>
      <w:r w:rsidRPr="009E29FC">
        <w:rPr>
          <w:rFonts w:ascii="Arial" w:hAnsi="Arial" w:cs="Arial"/>
          <w:sz w:val="20"/>
          <w:szCs w:val="20"/>
        </w:rPr>
        <w:t xml:space="preserve"> STG solution</w:t>
      </w:r>
      <w:r>
        <w:rPr>
          <w:rFonts w:ascii="Arial" w:hAnsi="Arial" w:cs="Arial"/>
          <w:sz w:val="20"/>
          <w:szCs w:val="20"/>
        </w:rPr>
        <w:t xml:space="preserve">, containing </w:t>
      </w:r>
      <w:r w:rsidRPr="009E29FC">
        <w:rPr>
          <w:rFonts w:ascii="Arial" w:hAnsi="Arial" w:cs="Arial"/>
          <w:sz w:val="20"/>
          <w:szCs w:val="20"/>
        </w:rPr>
        <w:t xml:space="preserve">selected isolates of </w:t>
      </w:r>
      <w:r w:rsidRPr="009E29FC">
        <w:rPr>
          <w:rFonts w:ascii="Arial" w:hAnsi="Arial" w:cs="Arial"/>
          <w:i/>
          <w:sz w:val="20"/>
          <w:szCs w:val="20"/>
        </w:rPr>
        <w:t>Streptomyces sp</w:t>
      </w:r>
      <w:r w:rsidRPr="009E29FC">
        <w:rPr>
          <w:rFonts w:ascii="Arial" w:hAnsi="Arial" w:cs="Arial"/>
          <w:sz w:val="20"/>
          <w:szCs w:val="20"/>
        </w:rPr>
        <w:t xml:space="preserve">., </w:t>
      </w:r>
      <w:r w:rsidRPr="009E29FC">
        <w:rPr>
          <w:rFonts w:ascii="Arial" w:hAnsi="Arial" w:cs="Arial"/>
          <w:i/>
          <w:sz w:val="20"/>
          <w:szCs w:val="20"/>
        </w:rPr>
        <w:t>Trichoderma sp</w:t>
      </w:r>
      <w:r w:rsidRPr="009E29FC">
        <w:rPr>
          <w:rFonts w:ascii="Arial" w:hAnsi="Arial" w:cs="Arial"/>
          <w:sz w:val="20"/>
          <w:szCs w:val="20"/>
        </w:rPr>
        <w:t xml:space="preserve">., and </w:t>
      </w:r>
      <w:r>
        <w:rPr>
          <w:rFonts w:ascii="Arial" w:hAnsi="Arial" w:cs="Arial"/>
          <w:i/>
          <w:sz w:val="20"/>
          <w:szCs w:val="20"/>
        </w:rPr>
        <w:t>Geobacillus sp</w:t>
      </w:r>
      <w:r w:rsidRPr="009E29FC">
        <w:rPr>
          <w:rFonts w:ascii="Arial" w:hAnsi="Arial" w:cs="Arial"/>
          <w:sz w:val="20"/>
          <w:szCs w:val="20"/>
        </w:rPr>
        <w:t>.</w:t>
      </w:r>
      <w:r>
        <w:rPr>
          <w:rFonts w:ascii="Arial" w:hAnsi="Arial" w:cs="Arial"/>
          <w:sz w:val="20"/>
          <w:szCs w:val="20"/>
        </w:rPr>
        <w:t>, at</w:t>
      </w:r>
      <w:r w:rsidRPr="009E29FC">
        <w:rPr>
          <w:rFonts w:ascii="Arial" w:hAnsi="Arial" w:cs="Arial"/>
          <w:sz w:val="20"/>
          <w:szCs w:val="20"/>
        </w:rPr>
        <w:t xml:space="preserve"> two weeks before</w:t>
      </w:r>
      <w:r>
        <w:rPr>
          <w:rFonts w:ascii="Arial" w:hAnsi="Arial" w:cs="Arial"/>
          <w:sz w:val="20"/>
          <w:szCs w:val="20"/>
        </w:rPr>
        <w:t xml:space="preserve"> seed sowing. Prior to sowing, </w:t>
      </w:r>
      <w:r w:rsidRPr="009E29FC">
        <w:rPr>
          <w:rFonts w:ascii="Arial" w:hAnsi="Arial" w:cs="Arial"/>
          <w:sz w:val="20"/>
          <w:szCs w:val="20"/>
        </w:rPr>
        <w:t>seeds</w:t>
      </w:r>
      <w:r>
        <w:rPr>
          <w:rFonts w:ascii="Arial" w:hAnsi="Arial" w:cs="Arial"/>
          <w:sz w:val="20"/>
          <w:szCs w:val="20"/>
        </w:rPr>
        <w:t xml:space="preserve"> were soaked in water</w:t>
      </w:r>
      <w:r w:rsidRPr="009E29FC">
        <w:rPr>
          <w:rFonts w:ascii="Arial" w:hAnsi="Arial" w:cs="Arial"/>
          <w:sz w:val="20"/>
          <w:szCs w:val="20"/>
        </w:rPr>
        <w:t xml:space="preserve"> for two hours. </w:t>
      </w:r>
      <w:r>
        <w:rPr>
          <w:rFonts w:ascii="Arial" w:hAnsi="Arial" w:cs="Arial"/>
          <w:sz w:val="20"/>
          <w:szCs w:val="20"/>
        </w:rPr>
        <w:t xml:space="preserve">Granular </w:t>
      </w:r>
      <w:r w:rsidRPr="009E29FC">
        <w:rPr>
          <w:rFonts w:ascii="Arial" w:hAnsi="Arial" w:cs="Arial"/>
          <w:sz w:val="20"/>
          <w:szCs w:val="20"/>
        </w:rPr>
        <w:t>NPK fertilizer</w:t>
      </w:r>
      <w:r>
        <w:rPr>
          <w:rFonts w:ascii="Arial" w:hAnsi="Arial" w:cs="Arial"/>
          <w:sz w:val="20"/>
          <w:szCs w:val="20"/>
        </w:rPr>
        <w:t xml:space="preserve"> was applied</w:t>
      </w:r>
      <w:r w:rsidRPr="009E29FC">
        <w:rPr>
          <w:rFonts w:ascii="Arial" w:hAnsi="Arial" w:cs="Arial"/>
          <w:sz w:val="20"/>
          <w:szCs w:val="20"/>
        </w:rPr>
        <w:t xml:space="preserve"> three times, i.e. at time of planting, 15 days after planting</w:t>
      </w:r>
      <w:r>
        <w:rPr>
          <w:rFonts w:ascii="Arial" w:hAnsi="Arial" w:cs="Arial"/>
          <w:sz w:val="20"/>
          <w:szCs w:val="20"/>
        </w:rPr>
        <w:t xml:space="preserve"> (DAP),</w:t>
      </w:r>
      <w:r w:rsidRPr="009E29FC">
        <w:rPr>
          <w:rFonts w:ascii="Arial" w:hAnsi="Arial" w:cs="Arial"/>
          <w:sz w:val="20"/>
          <w:szCs w:val="20"/>
        </w:rPr>
        <w:t xml:space="preserve"> and 30 days after planting at rate of 5.8 gram per pot.</w:t>
      </w:r>
    </w:p>
    <w:p w:rsidR="004F415E" w:rsidRDefault="004F415E" w:rsidP="004F415E">
      <w:pPr>
        <w:spacing w:before="120" w:after="120" w:line="360" w:lineRule="auto"/>
        <w:jc w:val="both"/>
        <w:rPr>
          <w:rFonts w:ascii="Arial" w:hAnsi="Arial" w:cs="Arial"/>
          <w:sz w:val="20"/>
          <w:szCs w:val="20"/>
        </w:rPr>
      </w:pPr>
      <w:r>
        <w:rPr>
          <w:rFonts w:ascii="Arial" w:hAnsi="Arial" w:cs="Arial"/>
          <w:sz w:val="20"/>
          <w:szCs w:val="20"/>
        </w:rPr>
        <w:t xml:space="preserve">SWT condition was set up by placing pots containing substrate mix of 20 cm depth after subsidence into three experimental pools filled with different depths of water, i.e. 15 cm, 10 cm, and 5 cm. The depth differential created different position of water table at 5 cm </w:t>
      </w:r>
      <w:r w:rsidRPr="009A0C8F">
        <w:rPr>
          <w:rFonts w:ascii="Arial" w:hAnsi="Arial" w:cs="Arial"/>
          <w:sz w:val="20"/>
          <w:szCs w:val="20"/>
        </w:rPr>
        <w:t>(W</w:t>
      </w:r>
      <w:r w:rsidRPr="009A0C8F">
        <w:rPr>
          <w:rFonts w:ascii="Arial" w:hAnsi="Arial" w:cs="Arial"/>
          <w:sz w:val="20"/>
          <w:szCs w:val="20"/>
          <w:vertAlign w:val="subscript"/>
        </w:rPr>
        <w:t>-5</w:t>
      </w:r>
      <w:r w:rsidRPr="009A0C8F">
        <w:rPr>
          <w:rFonts w:ascii="Arial" w:hAnsi="Arial" w:cs="Arial"/>
          <w:sz w:val="20"/>
          <w:szCs w:val="20"/>
        </w:rPr>
        <w:t>)</w:t>
      </w:r>
      <w:r>
        <w:rPr>
          <w:rFonts w:ascii="Arial" w:hAnsi="Arial" w:cs="Arial"/>
          <w:sz w:val="20"/>
          <w:szCs w:val="20"/>
        </w:rPr>
        <w:t xml:space="preserve">, 10 cm </w:t>
      </w:r>
      <w:r w:rsidRPr="009A0C8F">
        <w:rPr>
          <w:rFonts w:ascii="Arial" w:hAnsi="Arial" w:cs="Arial"/>
          <w:sz w:val="20"/>
          <w:szCs w:val="20"/>
        </w:rPr>
        <w:t>(W</w:t>
      </w:r>
      <w:r w:rsidRPr="009A0C8F">
        <w:rPr>
          <w:rFonts w:ascii="Arial" w:hAnsi="Arial" w:cs="Arial"/>
          <w:sz w:val="20"/>
          <w:szCs w:val="20"/>
          <w:vertAlign w:val="subscript"/>
        </w:rPr>
        <w:t>-10</w:t>
      </w:r>
      <w:r w:rsidRPr="009A0C8F">
        <w:rPr>
          <w:rFonts w:ascii="Arial" w:hAnsi="Arial" w:cs="Arial"/>
          <w:sz w:val="20"/>
          <w:szCs w:val="20"/>
        </w:rPr>
        <w:t>)</w:t>
      </w:r>
      <w:r>
        <w:rPr>
          <w:rFonts w:ascii="Arial" w:hAnsi="Arial" w:cs="Arial"/>
          <w:sz w:val="20"/>
          <w:szCs w:val="20"/>
        </w:rPr>
        <w:t>, and 15 cm</w:t>
      </w:r>
      <w:r w:rsidRPr="009A0C8F">
        <w:rPr>
          <w:rFonts w:ascii="Arial" w:hAnsi="Arial" w:cs="Arial"/>
          <w:sz w:val="20"/>
          <w:szCs w:val="20"/>
        </w:rPr>
        <w:t xml:space="preserve"> (W</w:t>
      </w:r>
      <w:r w:rsidRPr="009A0C8F">
        <w:rPr>
          <w:rFonts w:ascii="Arial" w:hAnsi="Arial" w:cs="Arial"/>
          <w:sz w:val="20"/>
          <w:szCs w:val="20"/>
          <w:vertAlign w:val="subscript"/>
        </w:rPr>
        <w:t>-15</w:t>
      </w:r>
      <w:r w:rsidRPr="009A0C8F">
        <w:rPr>
          <w:rFonts w:ascii="Arial" w:hAnsi="Arial" w:cs="Arial"/>
          <w:sz w:val="20"/>
          <w:szCs w:val="20"/>
        </w:rPr>
        <w:t>)</w:t>
      </w:r>
      <w:r>
        <w:rPr>
          <w:rFonts w:ascii="Arial" w:hAnsi="Arial" w:cs="Arial"/>
          <w:sz w:val="20"/>
          <w:szCs w:val="20"/>
        </w:rPr>
        <w:t xml:space="preserve"> below substrate surface, respectively. SWT condition was exposed to the common bean plants for 20 consecutive days, starting from18 DAP to 38 DAP.</w:t>
      </w:r>
      <w:r w:rsidRPr="00FD293F">
        <w:rPr>
          <w:rFonts w:ascii="Arial" w:hAnsi="Arial" w:cs="Arial"/>
          <w:sz w:val="20"/>
          <w:szCs w:val="20"/>
        </w:rPr>
        <w:t xml:space="preserve"> </w:t>
      </w:r>
      <w:r>
        <w:rPr>
          <w:rFonts w:ascii="Arial" w:hAnsi="Arial" w:cs="Arial"/>
          <w:sz w:val="20"/>
          <w:szCs w:val="20"/>
        </w:rPr>
        <w:t xml:space="preserve">Each </w:t>
      </w:r>
      <w:r w:rsidRPr="009A0C8F">
        <w:rPr>
          <w:rFonts w:ascii="Arial" w:hAnsi="Arial" w:cs="Arial"/>
          <w:sz w:val="20"/>
          <w:szCs w:val="20"/>
        </w:rPr>
        <w:t xml:space="preserve">SWT position </w:t>
      </w:r>
      <w:r>
        <w:rPr>
          <w:rFonts w:ascii="Arial" w:hAnsi="Arial" w:cs="Arial"/>
          <w:sz w:val="20"/>
          <w:szCs w:val="20"/>
        </w:rPr>
        <w:t xml:space="preserve">was </w:t>
      </w:r>
      <w:r w:rsidRPr="009A0C8F">
        <w:rPr>
          <w:rFonts w:ascii="Arial" w:hAnsi="Arial" w:cs="Arial"/>
          <w:sz w:val="20"/>
          <w:szCs w:val="20"/>
        </w:rPr>
        <w:t>constantly</w:t>
      </w:r>
      <w:r>
        <w:rPr>
          <w:rFonts w:ascii="Arial" w:hAnsi="Arial" w:cs="Arial"/>
          <w:sz w:val="20"/>
          <w:szCs w:val="20"/>
        </w:rPr>
        <w:t xml:space="preserve"> maintained by</w:t>
      </w:r>
      <w:r w:rsidRPr="009A0C8F">
        <w:rPr>
          <w:rFonts w:ascii="Arial" w:hAnsi="Arial" w:cs="Arial"/>
          <w:sz w:val="20"/>
          <w:szCs w:val="20"/>
        </w:rPr>
        <w:t xml:space="preserve"> open</w:t>
      </w:r>
      <w:r>
        <w:rPr>
          <w:rFonts w:ascii="Arial" w:hAnsi="Arial" w:cs="Arial"/>
          <w:sz w:val="20"/>
          <w:szCs w:val="20"/>
        </w:rPr>
        <w:t>ing designated</w:t>
      </w:r>
      <w:r w:rsidRPr="009A0C8F">
        <w:rPr>
          <w:rFonts w:ascii="Arial" w:hAnsi="Arial" w:cs="Arial"/>
          <w:sz w:val="20"/>
          <w:szCs w:val="20"/>
        </w:rPr>
        <w:t xml:space="preserve"> valve</w:t>
      </w:r>
      <w:r>
        <w:rPr>
          <w:rFonts w:ascii="Arial" w:hAnsi="Arial" w:cs="Arial"/>
          <w:sz w:val="20"/>
          <w:szCs w:val="20"/>
        </w:rPr>
        <w:t>s</w:t>
      </w:r>
      <w:r w:rsidRPr="009A0C8F">
        <w:rPr>
          <w:rFonts w:ascii="Arial" w:hAnsi="Arial" w:cs="Arial"/>
          <w:sz w:val="20"/>
          <w:szCs w:val="20"/>
        </w:rPr>
        <w:t xml:space="preserve"> </w:t>
      </w:r>
      <w:r>
        <w:rPr>
          <w:rFonts w:ascii="Arial" w:hAnsi="Arial" w:cs="Arial"/>
          <w:sz w:val="20"/>
          <w:szCs w:val="20"/>
        </w:rPr>
        <w:t>for free flowing of excess water in the pool.</w:t>
      </w:r>
    </w:p>
    <w:p w:rsidR="004F415E" w:rsidRDefault="004F415E" w:rsidP="004F415E">
      <w:pPr>
        <w:spacing w:before="120" w:after="120" w:line="360" w:lineRule="auto"/>
        <w:jc w:val="both"/>
        <w:rPr>
          <w:rFonts w:ascii="Arial" w:hAnsi="Arial" w:cs="Arial"/>
          <w:sz w:val="20"/>
          <w:szCs w:val="20"/>
        </w:rPr>
      </w:pPr>
      <w:r w:rsidRPr="009A0C8F">
        <w:rPr>
          <w:rFonts w:ascii="Arial" w:hAnsi="Arial" w:cs="Arial"/>
          <w:sz w:val="20"/>
          <w:szCs w:val="20"/>
        </w:rPr>
        <w:t>An aqueous solution of ALA</w:t>
      </w:r>
      <w:r>
        <w:rPr>
          <w:rFonts w:ascii="Arial" w:hAnsi="Arial" w:cs="Arial"/>
          <w:sz w:val="20"/>
          <w:szCs w:val="20"/>
        </w:rPr>
        <w:t xml:space="preserve"> at</w:t>
      </w:r>
      <w:r w:rsidRPr="009A0C8F">
        <w:rPr>
          <w:rFonts w:ascii="Arial" w:hAnsi="Arial" w:cs="Arial"/>
          <w:sz w:val="20"/>
          <w:szCs w:val="20"/>
        </w:rPr>
        <w:t xml:space="preserve"> 1.0 mM was used for increasing tolerability of common bean to shallow water table condition</w:t>
      </w:r>
      <w:r>
        <w:rPr>
          <w:rFonts w:ascii="Arial" w:hAnsi="Arial" w:cs="Arial"/>
          <w:sz w:val="20"/>
          <w:szCs w:val="20"/>
        </w:rPr>
        <w:t xml:space="preserve">. ALA was applied at four days prior to SWT exposure or at 14 DAP </w:t>
      </w:r>
      <w:r w:rsidRPr="009A0C8F">
        <w:rPr>
          <w:rFonts w:ascii="Arial" w:hAnsi="Arial" w:cs="Arial"/>
          <w:sz w:val="20"/>
          <w:szCs w:val="20"/>
        </w:rPr>
        <w:t>(T</w:t>
      </w:r>
      <w:r w:rsidRPr="009A0C8F">
        <w:rPr>
          <w:rFonts w:ascii="Arial" w:hAnsi="Arial" w:cs="Arial"/>
          <w:sz w:val="20"/>
          <w:szCs w:val="20"/>
          <w:vertAlign w:val="subscript"/>
        </w:rPr>
        <w:t>14</w:t>
      </w:r>
      <w:r w:rsidRPr="009A0C8F">
        <w:rPr>
          <w:rFonts w:ascii="Arial" w:hAnsi="Arial" w:cs="Arial"/>
          <w:sz w:val="20"/>
          <w:szCs w:val="20"/>
        </w:rPr>
        <w:t>)</w:t>
      </w:r>
      <w:r>
        <w:rPr>
          <w:rFonts w:ascii="Arial" w:hAnsi="Arial" w:cs="Arial"/>
          <w:sz w:val="20"/>
          <w:szCs w:val="20"/>
        </w:rPr>
        <w:t xml:space="preserve">, at midpoint during the SWT exposure period or at 28 DAP </w:t>
      </w:r>
      <w:r w:rsidRPr="009A0C8F">
        <w:rPr>
          <w:rFonts w:ascii="Arial" w:hAnsi="Arial" w:cs="Arial"/>
          <w:sz w:val="20"/>
          <w:szCs w:val="20"/>
        </w:rPr>
        <w:t>(T</w:t>
      </w:r>
      <w:r w:rsidRPr="009A0C8F">
        <w:rPr>
          <w:rFonts w:ascii="Arial" w:hAnsi="Arial" w:cs="Arial"/>
          <w:sz w:val="20"/>
          <w:szCs w:val="20"/>
          <w:vertAlign w:val="subscript"/>
        </w:rPr>
        <w:t>28</w:t>
      </w:r>
      <w:r w:rsidRPr="009A0C8F">
        <w:rPr>
          <w:rFonts w:ascii="Arial" w:hAnsi="Arial" w:cs="Arial"/>
          <w:sz w:val="20"/>
          <w:szCs w:val="20"/>
        </w:rPr>
        <w:t>)</w:t>
      </w:r>
      <w:r>
        <w:rPr>
          <w:rFonts w:ascii="Arial" w:hAnsi="Arial" w:cs="Arial"/>
          <w:sz w:val="20"/>
          <w:szCs w:val="20"/>
        </w:rPr>
        <w:t xml:space="preserve">, and at time of SWT exposure was terminated or at 38 DAP </w:t>
      </w:r>
      <w:r w:rsidRPr="009A0C8F">
        <w:rPr>
          <w:rFonts w:ascii="Arial" w:hAnsi="Arial" w:cs="Arial"/>
          <w:sz w:val="20"/>
          <w:szCs w:val="20"/>
        </w:rPr>
        <w:t>(T</w:t>
      </w:r>
      <w:r w:rsidRPr="009A0C8F">
        <w:rPr>
          <w:rFonts w:ascii="Arial" w:hAnsi="Arial" w:cs="Arial"/>
          <w:sz w:val="20"/>
          <w:szCs w:val="20"/>
          <w:vertAlign w:val="subscript"/>
        </w:rPr>
        <w:t>38</w:t>
      </w:r>
      <w:r>
        <w:rPr>
          <w:rFonts w:ascii="Arial" w:hAnsi="Arial" w:cs="Arial"/>
          <w:sz w:val="20"/>
          <w:szCs w:val="20"/>
        </w:rPr>
        <w:t>).</w:t>
      </w:r>
      <w:r w:rsidRPr="00C5797B">
        <w:rPr>
          <w:rFonts w:ascii="Arial" w:hAnsi="Arial" w:cs="Arial"/>
          <w:sz w:val="20"/>
          <w:szCs w:val="20"/>
        </w:rPr>
        <w:t xml:space="preserve"> </w:t>
      </w:r>
      <w:r w:rsidRPr="009A0C8F">
        <w:rPr>
          <w:rFonts w:ascii="Arial" w:hAnsi="Arial" w:cs="Arial"/>
          <w:sz w:val="20"/>
          <w:szCs w:val="20"/>
        </w:rPr>
        <w:t>ALA</w:t>
      </w:r>
      <w:r>
        <w:rPr>
          <w:rFonts w:ascii="Arial" w:hAnsi="Arial" w:cs="Arial"/>
          <w:sz w:val="20"/>
          <w:szCs w:val="20"/>
        </w:rPr>
        <w:t xml:space="preserve"> solution</w:t>
      </w:r>
      <w:r w:rsidRPr="009A0C8F">
        <w:rPr>
          <w:rFonts w:ascii="Arial" w:hAnsi="Arial" w:cs="Arial"/>
          <w:sz w:val="20"/>
          <w:szCs w:val="20"/>
        </w:rPr>
        <w:t xml:space="preserve"> was sprayed to </w:t>
      </w:r>
      <w:r>
        <w:rPr>
          <w:rFonts w:ascii="Arial" w:hAnsi="Arial" w:cs="Arial"/>
          <w:sz w:val="20"/>
          <w:szCs w:val="20"/>
        </w:rPr>
        <w:t>upper and lower leaf surfaces of each plant</w:t>
      </w:r>
      <w:r w:rsidRPr="009A0C8F">
        <w:rPr>
          <w:rFonts w:ascii="Arial" w:hAnsi="Arial" w:cs="Arial"/>
          <w:sz w:val="20"/>
          <w:szCs w:val="20"/>
        </w:rPr>
        <w:t xml:space="preserve"> until both sides of the leaves were fully and evenly wet (Zhang, Miao, &amp; Wang, 2015).  </w:t>
      </w:r>
      <w:r>
        <w:rPr>
          <w:rFonts w:ascii="Arial" w:hAnsi="Arial" w:cs="Arial"/>
          <w:sz w:val="20"/>
          <w:szCs w:val="20"/>
        </w:rPr>
        <w:t>This f</w:t>
      </w:r>
      <w:r w:rsidRPr="009A0C8F">
        <w:rPr>
          <w:rFonts w:ascii="Arial" w:hAnsi="Arial" w:cs="Arial"/>
          <w:sz w:val="20"/>
          <w:szCs w:val="20"/>
        </w:rPr>
        <w:t xml:space="preserve">oliar </w:t>
      </w:r>
      <w:r>
        <w:rPr>
          <w:rFonts w:ascii="Arial" w:hAnsi="Arial" w:cs="Arial"/>
          <w:sz w:val="20"/>
          <w:szCs w:val="20"/>
        </w:rPr>
        <w:t>application</w:t>
      </w:r>
      <w:r w:rsidRPr="009A0C8F">
        <w:rPr>
          <w:rFonts w:ascii="Arial" w:hAnsi="Arial" w:cs="Arial"/>
          <w:sz w:val="20"/>
          <w:szCs w:val="20"/>
        </w:rPr>
        <w:t xml:space="preserve"> </w:t>
      </w:r>
      <w:r>
        <w:rPr>
          <w:rFonts w:ascii="Arial" w:hAnsi="Arial" w:cs="Arial"/>
          <w:sz w:val="20"/>
          <w:szCs w:val="20"/>
        </w:rPr>
        <w:t>was</w:t>
      </w:r>
      <w:r w:rsidRPr="009A0C8F">
        <w:rPr>
          <w:rFonts w:ascii="Arial" w:hAnsi="Arial" w:cs="Arial"/>
          <w:sz w:val="20"/>
          <w:szCs w:val="20"/>
        </w:rPr>
        <w:t xml:space="preserve"> done at 6.30-7.30 a.m.  Each plant was</w:t>
      </w:r>
      <w:r>
        <w:rPr>
          <w:rFonts w:ascii="Arial" w:hAnsi="Arial" w:cs="Arial"/>
          <w:sz w:val="20"/>
          <w:szCs w:val="20"/>
        </w:rPr>
        <w:t xml:space="preserve"> singly</w:t>
      </w:r>
      <w:r w:rsidRPr="009A0C8F">
        <w:rPr>
          <w:rFonts w:ascii="Arial" w:hAnsi="Arial" w:cs="Arial"/>
          <w:sz w:val="20"/>
          <w:szCs w:val="20"/>
        </w:rPr>
        <w:t xml:space="preserve"> isolated during </w:t>
      </w:r>
      <w:r w:rsidRPr="009A0C8F">
        <w:rPr>
          <w:rFonts w:ascii="Arial" w:hAnsi="Arial" w:cs="Arial"/>
          <w:color w:val="000000"/>
          <w:sz w:val="20"/>
          <w:szCs w:val="20"/>
        </w:rPr>
        <w:t>ALA foliar application.</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 xml:space="preserve">Severity effects of SWT exposure was evaluated using the pairwise comparison procedure, by comparing </w:t>
      </w:r>
      <w:r w:rsidRPr="009A0C8F">
        <w:rPr>
          <w:rFonts w:ascii="Arial" w:hAnsi="Arial" w:cs="Arial"/>
          <w:color w:val="000000"/>
          <w:sz w:val="20"/>
          <w:szCs w:val="20"/>
        </w:rPr>
        <w:t xml:space="preserve">plants exposed to </w:t>
      </w:r>
      <w:r>
        <w:rPr>
          <w:rFonts w:ascii="Arial" w:hAnsi="Arial" w:cs="Arial"/>
          <w:color w:val="000000"/>
          <w:sz w:val="20"/>
          <w:szCs w:val="20"/>
        </w:rPr>
        <w:t xml:space="preserve">each </w:t>
      </w:r>
      <w:r w:rsidRPr="009A0C8F">
        <w:rPr>
          <w:rFonts w:ascii="Arial" w:hAnsi="Arial" w:cs="Arial"/>
          <w:color w:val="000000"/>
          <w:sz w:val="20"/>
          <w:szCs w:val="20"/>
        </w:rPr>
        <w:t xml:space="preserve">SWT </w:t>
      </w:r>
      <w:r>
        <w:rPr>
          <w:rFonts w:ascii="Arial" w:hAnsi="Arial" w:cs="Arial"/>
          <w:color w:val="000000"/>
          <w:sz w:val="20"/>
          <w:szCs w:val="20"/>
        </w:rPr>
        <w:t xml:space="preserve">condition but </w:t>
      </w:r>
      <w:r w:rsidRPr="009A0C8F">
        <w:rPr>
          <w:rFonts w:ascii="Arial" w:hAnsi="Arial" w:cs="Arial"/>
          <w:color w:val="000000"/>
          <w:sz w:val="20"/>
          <w:szCs w:val="20"/>
        </w:rPr>
        <w:t xml:space="preserve">without ALA </w:t>
      </w:r>
      <w:r>
        <w:rPr>
          <w:rFonts w:ascii="Arial" w:hAnsi="Arial" w:cs="Arial"/>
          <w:color w:val="000000"/>
          <w:sz w:val="20"/>
          <w:szCs w:val="20"/>
        </w:rPr>
        <w:t xml:space="preserve">treatment, i.e. </w:t>
      </w:r>
      <w:r w:rsidRPr="009A0C8F">
        <w:rPr>
          <w:rFonts w:ascii="Arial" w:hAnsi="Arial" w:cs="Arial"/>
          <w:color w:val="000000"/>
          <w:sz w:val="20"/>
          <w:szCs w:val="20"/>
        </w:rPr>
        <w:t>W</w:t>
      </w:r>
      <w:r w:rsidRPr="009A0C8F">
        <w:rPr>
          <w:rFonts w:ascii="Arial" w:hAnsi="Arial" w:cs="Arial"/>
          <w:color w:val="000000"/>
          <w:sz w:val="20"/>
          <w:szCs w:val="20"/>
          <w:vertAlign w:val="subscript"/>
        </w:rPr>
        <w:t>-5</w:t>
      </w:r>
      <w:r w:rsidRPr="009A0C8F">
        <w:rPr>
          <w:rFonts w:ascii="Arial" w:hAnsi="Arial" w:cs="Arial"/>
          <w:color w:val="000000"/>
          <w:sz w:val="20"/>
          <w:szCs w:val="20"/>
        </w:rPr>
        <w:t>-ALA, W</w:t>
      </w:r>
      <w:r w:rsidRPr="009A0C8F">
        <w:rPr>
          <w:rFonts w:ascii="Arial" w:hAnsi="Arial" w:cs="Arial"/>
          <w:color w:val="000000"/>
          <w:sz w:val="20"/>
          <w:szCs w:val="20"/>
          <w:vertAlign w:val="subscript"/>
        </w:rPr>
        <w:t>-10</w:t>
      </w:r>
      <w:r w:rsidRPr="009A0C8F">
        <w:rPr>
          <w:rFonts w:ascii="Arial" w:hAnsi="Arial" w:cs="Arial"/>
          <w:color w:val="000000"/>
          <w:sz w:val="20"/>
          <w:szCs w:val="20"/>
        </w:rPr>
        <w:t>-ALA</w:t>
      </w:r>
      <w:r>
        <w:rPr>
          <w:rFonts w:ascii="Arial" w:hAnsi="Arial" w:cs="Arial"/>
          <w:color w:val="000000"/>
          <w:sz w:val="20"/>
          <w:szCs w:val="20"/>
        </w:rPr>
        <w:t>,</w:t>
      </w:r>
      <w:r w:rsidRPr="009A0C8F">
        <w:rPr>
          <w:rFonts w:ascii="Arial" w:hAnsi="Arial" w:cs="Arial"/>
          <w:color w:val="000000"/>
          <w:sz w:val="20"/>
          <w:szCs w:val="20"/>
        </w:rPr>
        <w:t xml:space="preserve"> and W</w:t>
      </w:r>
      <w:r w:rsidRPr="009A0C8F">
        <w:rPr>
          <w:rFonts w:ascii="Arial" w:hAnsi="Arial" w:cs="Arial"/>
          <w:color w:val="000000"/>
          <w:sz w:val="20"/>
          <w:szCs w:val="20"/>
          <w:vertAlign w:val="subscript"/>
        </w:rPr>
        <w:t>-15</w:t>
      </w:r>
      <w:r>
        <w:rPr>
          <w:rFonts w:ascii="Arial" w:hAnsi="Arial" w:cs="Arial"/>
          <w:color w:val="000000"/>
          <w:sz w:val="20"/>
          <w:szCs w:val="20"/>
        </w:rPr>
        <w:t xml:space="preserve">-ALA with control </w:t>
      </w:r>
      <w:r w:rsidRPr="009A0C8F">
        <w:rPr>
          <w:rFonts w:ascii="Arial" w:hAnsi="Arial" w:cs="Arial"/>
          <w:color w:val="000000"/>
          <w:sz w:val="20"/>
          <w:szCs w:val="20"/>
        </w:rPr>
        <w:t xml:space="preserve">plants </w:t>
      </w:r>
      <w:r>
        <w:rPr>
          <w:rFonts w:ascii="Arial" w:hAnsi="Arial" w:cs="Arial"/>
          <w:color w:val="000000"/>
          <w:sz w:val="20"/>
          <w:szCs w:val="20"/>
        </w:rPr>
        <w:t>without SWT exposure and ALA treatment</w:t>
      </w:r>
      <w:r w:rsidRPr="009A0C8F">
        <w:rPr>
          <w:rFonts w:ascii="Arial" w:hAnsi="Arial" w:cs="Arial"/>
          <w:sz w:val="20"/>
          <w:szCs w:val="20"/>
        </w:rPr>
        <w:t xml:space="preserve">. </w:t>
      </w:r>
      <w:r>
        <w:rPr>
          <w:rFonts w:ascii="Arial" w:hAnsi="Arial" w:cs="Arial"/>
          <w:sz w:val="20"/>
          <w:szCs w:val="20"/>
        </w:rPr>
        <w:t>Effectiveness of ALA application was evaluated within each SWT exposure treatment.</w:t>
      </w:r>
    </w:p>
    <w:p w:rsidR="004F415E" w:rsidRPr="009A0C8F" w:rsidRDefault="004F415E" w:rsidP="004F415E">
      <w:pPr>
        <w:autoSpaceDE w:val="0"/>
        <w:autoSpaceDN w:val="0"/>
        <w:adjustRightInd w:val="0"/>
        <w:spacing w:before="120" w:after="120" w:line="360" w:lineRule="auto"/>
        <w:jc w:val="both"/>
        <w:rPr>
          <w:rFonts w:ascii="Arial" w:hAnsi="Arial" w:cs="Arial"/>
          <w:sz w:val="20"/>
          <w:szCs w:val="20"/>
        </w:rPr>
      </w:pPr>
      <w:r w:rsidRPr="009A0C8F">
        <w:rPr>
          <w:rFonts w:ascii="Arial" w:hAnsi="Arial" w:cs="Arial"/>
          <w:sz w:val="20"/>
          <w:szCs w:val="20"/>
        </w:rPr>
        <w:t xml:space="preserve">Proline content in fresh leaves was analyzed based on </w:t>
      </w:r>
      <w:r>
        <w:rPr>
          <w:rFonts w:ascii="Arial" w:hAnsi="Arial" w:cs="Arial"/>
          <w:sz w:val="20"/>
          <w:szCs w:val="20"/>
        </w:rPr>
        <w:t xml:space="preserve">modified </w:t>
      </w:r>
      <w:r w:rsidRPr="009A0C8F">
        <w:rPr>
          <w:rFonts w:ascii="Arial" w:hAnsi="Arial" w:cs="Arial"/>
          <w:sz w:val="20"/>
          <w:szCs w:val="20"/>
        </w:rPr>
        <w:t>Bates</w:t>
      </w:r>
      <w:r>
        <w:rPr>
          <w:rFonts w:ascii="Arial" w:hAnsi="Arial" w:cs="Arial"/>
          <w:sz w:val="20"/>
          <w:szCs w:val="20"/>
        </w:rPr>
        <w:t>’</w:t>
      </w:r>
      <w:r w:rsidRPr="009A0C8F">
        <w:rPr>
          <w:rFonts w:ascii="Arial" w:hAnsi="Arial" w:cs="Arial"/>
          <w:sz w:val="20"/>
          <w:szCs w:val="20"/>
        </w:rPr>
        <w:t xml:space="preserve"> protocol</w:t>
      </w:r>
      <w:r>
        <w:rPr>
          <w:rFonts w:ascii="Arial" w:hAnsi="Arial" w:cs="Arial"/>
          <w:sz w:val="20"/>
          <w:szCs w:val="20"/>
        </w:rPr>
        <w:t>. This procedure was recently reviewed by Kalsoom et al. (2016).</w:t>
      </w:r>
      <w:r w:rsidRPr="009A0C8F">
        <w:rPr>
          <w:rFonts w:ascii="Arial" w:hAnsi="Arial" w:cs="Arial"/>
          <w:sz w:val="20"/>
          <w:szCs w:val="20"/>
        </w:rPr>
        <w:t xml:space="preserve"> Chlorophyll concentration index was measured using </w:t>
      </w:r>
      <w:r w:rsidRPr="009A0C8F">
        <w:rPr>
          <w:rFonts w:ascii="Arial" w:eastAsia="Times New Roman" w:hAnsi="Arial" w:cs="Arial"/>
          <w:sz w:val="20"/>
          <w:szCs w:val="20"/>
        </w:rPr>
        <w:t>Konica-Minolta Chlorophyll Meter SPAD-502Plus.</w:t>
      </w:r>
      <w:r w:rsidRPr="009A0C8F">
        <w:rPr>
          <w:rFonts w:ascii="Arial" w:hAnsi="Arial" w:cs="Arial"/>
          <w:sz w:val="20"/>
          <w:szCs w:val="20"/>
        </w:rPr>
        <w:t xml:space="preserve"> Leaf proline contents and SPAD value were measured at 30 DAP, 36 DAP and 42 DAP.</w:t>
      </w:r>
    </w:p>
    <w:p w:rsidR="004F415E" w:rsidRPr="009A0C8F"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lastRenderedPageBreak/>
        <w:t>Basic a</w:t>
      </w:r>
      <w:r w:rsidRPr="009A0C8F">
        <w:rPr>
          <w:rFonts w:ascii="Arial" w:hAnsi="Arial" w:cs="Arial"/>
          <w:sz w:val="20"/>
          <w:szCs w:val="20"/>
        </w:rPr>
        <w:t>gronomic</w:t>
      </w:r>
      <w:r>
        <w:rPr>
          <w:rFonts w:ascii="Arial" w:hAnsi="Arial" w:cs="Arial"/>
          <w:sz w:val="20"/>
          <w:szCs w:val="20"/>
        </w:rPr>
        <w:t>al</w:t>
      </w:r>
      <w:r w:rsidRPr="009A0C8F">
        <w:rPr>
          <w:rFonts w:ascii="Arial" w:hAnsi="Arial" w:cs="Arial"/>
          <w:sz w:val="20"/>
          <w:szCs w:val="20"/>
        </w:rPr>
        <w:t xml:space="preserve"> traits were </w:t>
      </w:r>
      <w:r>
        <w:rPr>
          <w:rFonts w:ascii="Arial" w:hAnsi="Arial" w:cs="Arial"/>
          <w:sz w:val="20"/>
          <w:szCs w:val="20"/>
        </w:rPr>
        <w:t>measured directly and treated as</w:t>
      </w:r>
      <w:r w:rsidRPr="009A0C8F">
        <w:rPr>
          <w:rFonts w:ascii="Arial" w:hAnsi="Arial" w:cs="Arial"/>
          <w:sz w:val="20"/>
          <w:szCs w:val="20"/>
        </w:rPr>
        <w:t xml:space="preserve"> primary data.  Meanwhile, </w:t>
      </w:r>
      <w:r>
        <w:rPr>
          <w:rFonts w:ascii="Arial" w:hAnsi="Arial" w:cs="Arial"/>
          <w:sz w:val="20"/>
          <w:szCs w:val="20"/>
        </w:rPr>
        <w:t>l</w:t>
      </w:r>
      <w:r w:rsidRPr="009A0C8F">
        <w:rPr>
          <w:rFonts w:ascii="Arial" w:hAnsi="Arial" w:cs="Arial"/>
          <w:sz w:val="20"/>
          <w:szCs w:val="20"/>
        </w:rPr>
        <w:t>eaf area (LA) was estimated using reliable regression model</w:t>
      </w:r>
      <w:r>
        <w:rPr>
          <w:rFonts w:ascii="Arial" w:hAnsi="Arial" w:cs="Arial"/>
          <w:sz w:val="20"/>
          <w:szCs w:val="20"/>
        </w:rPr>
        <w:t>.</w:t>
      </w:r>
      <w:r w:rsidRPr="009A0C8F">
        <w:rPr>
          <w:rFonts w:ascii="Arial" w:hAnsi="Arial" w:cs="Arial"/>
          <w:sz w:val="20"/>
          <w:szCs w:val="20"/>
        </w:rPr>
        <w:t xml:space="preserve"> Spesific leaf area (SLA), total leaf area (TLA), leaf area ratio (LAR), and relative leaf water content (RLWC) were calculated based on </w:t>
      </w:r>
      <w:r>
        <w:rPr>
          <w:rFonts w:ascii="Arial" w:hAnsi="Arial" w:cs="Arial"/>
          <w:sz w:val="20"/>
          <w:szCs w:val="20"/>
        </w:rPr>
        <w:t>measured</w:t>
      </w:r>
      <w:r w:rsidRPr="009A0C8F">
        <w:rPr>
          <w:rFonts w:ascii="Arial" w:hAnsi="Arial" w:cs="Arial"/>
          <w:sz w:val="20"/>
          <w:szCs w:val="20"/>
        </w:rPr>
        <w:t xml:space="preserve"> primary growth parameters (Meihana et al., 2017; Lakitan, Kadir, Wijaya</w:t>
      </w:r>
      <w:r>
        <w:rPr>
          <w:rFonts w:ascii="Arial" w:hAnsi="Arial" w:cs="Arial"/>
          <w:sz w:val="20"/>
          <w:szCs w:val="20"/>
        </w:rPr>
        <w:t xml:space="preserve">, </w:t>
      </w:r>
      <w:r w:rsidRPr="000D3FE0">
        <w:rPr>
          <w:rFonts w:ascii="Arial" w:eastAsia="Times New Roman" w:hAnsi="Arial" w:cs="Arial"/>
          <w:sz w:val="20"/>
          <w:szCs w:val="20"/>
        </w:rPr>
        <w:t>&amp; Susilawati</w:t>
      </w:r>
      <w:r w:rsidRPr="009A0C8F">
        <w:rPr>
          <w:rFonts w:ascii="Arial" w:hAnsi="Arial" w:cs="Arial"/>
          <w:sz w:val="20"/>
          <w:szCs w:val="20"/>
        </w:rPr>
        <w:t xml:space="preserve">, 2018).  </w:t>
      </w:r>
      <w:r>
        <w:rPr>
          <w:rFonts w:ascii="Arial" w:hAnsi="Arial" w:cs="Arial"/>
          <w:sz w:val="20"/>
          <w:szCs w:val="20"/>
        </w:rPr>
        <w:t>Most of agronomic traits were</w:t>
      </w:r>
      <w:r w:rsidRPr="009A0C8F">
        <w:rPr>
          <w:rFonts w:ascii="Arial" w:hAnsi="Arial" w:cs="Arial"/>
          <w:sz w:val="20"/>
          <w:szCs w:val="20"/>
        </w:rPr>
        <w:t xml:space="preserve"> </w:t>
      </w:r>
      <w:r>
        <w:rPr>
          <w:rFonts w:ascii="Arial" w:hAnsi="Arial" w:cs="Arial"/>
          <w:sz w:val="20"/>
          <w:szCs w:val="20"/>
        </w:rPr>
        <w:t>collected</w:t>
      </w:r>
      <w:r w:rsidRPr="009A0C8F">
        <w:rPr>
          <w:rFonts w:ascii="Arial" w:hAnsi="Arial" w:cs="Arial"/>
          <w:sz w:val="20"/>
          <w:szCs w:val="20"/>
        </w:rPr>
        <w:t xml:space="preserve"> at 30 DAP, 36 DAP, and 42 DAP</w:t>
      </w:r>
      <w:r>
        <w:rPr>
          <w:rFonts w:ascii="Arial" w:hAnsi="Arial" w:cs="Arial"/>
          <w:sz w:val="20"/>
          <w:szCs w:val="20"/>
        </w:rPr>
        <w:t>, except for biomass data which were collected after 20 days of SWT exposure was terminated, i.e. 58 DAP</w:t>
      </w:r>
      <w:r w:rsidRPr="009A0C8F">
        <w:rPr>
          <w:rFonts w:ascii="Arial" w:hAnsi="Arial" w:cs="Arial"/>
          <w:sz w:val="20"/>
          <w:szCs w:val="20"/>
        </w:rPr>
        <w:t>.</w:t>
      </w:r>
    </w:p>
    <w:p w:rsidR="004F415E" w:rsidRPr="009A0C8F" w:rsidRDefault="004F415E" w:rsidP="004F415E">
      <w:pPr>
        <w:spacing w:before="120" w:after="120" w:line="360" w:lineRule="auto"/>
        <w:jc w:val="both"/>
        <w:rPr>
          <w:rFonts w:ascii="Arial" w:hAnsi="Arial" w:cs="Arial"/>
          <w:color w:val="000000"/>
          <w:sz w:val="20"/>
          <w:szCs w:val="20"/>
        </w:rPr>
      </w:pPr>
      <w:r w:rsidRPr="009A0C8F">
        <w:rPr>
          <w:rFonts w:ascii="Arial" w:hAnsi="Arial" w:cs="Arial"/>
          <w:sz w:val="20"/>
          <w:szCs w:val="20"/>
        </w:rPr>
        <w:t>Data were</w:t>
      </w:r>
      <w:r>
        <w:rPr>
          <w:rFonts w:ascii="Arial" w:hAnsi="Arial" w:cs="Arial"/>
          <w:sz w:val="20"/>
          <w:szCs w:val="20"/>
        </w:rPr>
        <w:t xml:space="preserve"> analyzed</w:t>
      </w:r>
      <w:r w:rsidRPr="009A0C8F">
        <w:rPr>
          <w:rFonts w:ascii="Arial" w:hAnsi="Arial" w:cs="Arial"/>
          <w:sz w:val="20"/>
          <w:szCs w:val="20"/>
        </w:rPr>
        <w:t xml:space="preserve"> using analysis of variance (ANOVA) based on</w:t>
      </w:r>
      <w:r>
        <w:rPr>
          <w:rFonts w:ascii="Arial" w:hAnsi="Arial" w:cs="Arial"/>
          <w:sz w:val="20"/>
          <w:szCs w:val="20"/>
        </w:rPr>
        <w:t xml:space="preserve"> the</w:t>
      </w:r>
      <w:r w:rsidRPr="009A0C8F">
        <w:rPr>
          <w:rFonts w:ascii="Arial" w:hAnsi="Arial" w:cs="Arial"/>
          <w:sz w:val="20"/>
          <w:szCs w:val="20"/>
        </w:rPr>
        <w:t xml:space="preserve"> Strip Plot Design</w:t>
      </w:r>
      <w:r>
        <w:rPr>
          <w:rFonts w:ascii="Arial" w:hAnsi="Arial" w:cs="Arial"/>
          <w:sz w:val="20"/>
          <w:szCs w:val="20"/>
        </w:rPr>
        <w:t>.</w:t>
      </w:r>
      <w:r w:rsidRPr="009A0C8F">
        <w:rPr>
          <w:rFonts w:ascii="Arial" w:hAnsi="Arial" w:cs="Arial"/>
          <w:sz w:val="20"/>
          <w:szCs w:val="20"/>
        </w:rPr>
        <w:t xml:space="preserve"> The </w:t>
      </w:r>
      <w:r>
        <w:rPr>
          <w:rFonts w:ascii="Arial" w:hAnsi="Arial" w:cs="Arial"/>
          <w:sz w:val="20"/>
          <w:szCs w:val="20"/>
        </w:rPr>
        <w:t>significant</w:t>
      </w:r>
      <w:r w:rsidRPr="009A0C8F">
        <w:rPr>
          <w:rFonts w:ascii="Arial" w:hAnsi="Arial" w:cs="Arial"/>
          <w:sz w:val="20"/>
          <w:szCs w:val="20"/>
        </w:rPr>
        <w:t xml:space="preserve"> difference</w:t>
      </w:r>
      <w:r>
        <w:rPr>
          <w:rFonts w:ascii="Arial" w:hAnsi="Arial" w:cs="Arial"/>
          <w:sz w:val="20"/>
          <w:szCs w:val="20"/>
        </w:rPr>
        <w:t>s</w:t>
      </w:r>
      <w:r w:rsidRPr="009A0C8F">
        <w:rPr>
          <w:rFonts w:ascii="Arial" w:hAnsi="Arial" w:cs="Arial"/>
          <w:sz w:val="20"/>
          <w:szCs w:val="20"/>
        </w:rPr>
        <w:t xml:space="preserve"> amongst levels</w:t>
      </w:r>
      <w:r>
        <w:rPr>
          <w:rFonts w:ascii="Arial" w:hAnsi="Arial" w:cs="Arial"/>
          <w:sz w:val="20"/>
          <w:szCs w:val="20"/>
        </w:rPr>
        <w:t xml:space="preserve"> of SWT exposure and time of ALA applications</w:t>
      </w:r>
      <w:r w:rsidRPr="009A0C8F">
        <w:rPr>
          <w:rFonts w:ascii="Arial" w:hAnsi="Arial" w:cs="Arial"/>
          <w:sz w:val="20"/>
          <w:szCs w:val="20"/>
        </w:rPr>
        <w:t xml:space="preserve"> </w:t>
      </w:r>
      <w:r>
        <w:rPr>
          <w:rFonts w:ascii="Arial" w:hAnsi="Arial" w:cs="Arial"/>
          <w:sz w:val="20"/>
          <w:szCs w:val="20"/>
        </w:rPr>
        <w:t>were</w:t>
      </w:r>
      <w:r w:rsidRPr="009A0C8F">
        <w:rPr>
          <w:rFonts w:ascii="Arial" w:hAnsi="Arial" w:cs="Arial"/>
          <w:sz w:val="20"/>
          <w:szCs w:val="20"/>
        </w:rPr>
        <w:t xml:space="preserve"> determined using</w:t>
      </w:r>
      <w:r>
        <w:rPr>
          <w:rFonts w:ascii="Arial" w:hAnsi="Arial" w:cs="Arial"/>
          <w:sz w:val="20"/>
          <w:szCs w:val="20"/>
        </w:rPr>
        <w:t xml:space="preserve"> the</w:t>
      </w:r>
      <w:r w:rsidRPr="009A0C8F">
        <w:rPr>
          <w:rFonts w:ascii="Arial" w:hAnsi="Arial" w:cs="Arial"/>
          <w:sz w:val="20"/>
          <w:szCs w:val="20"/>
        </w:rPr>
        <w:t xml:space="preserve"> Least Significant Difference (LSD) test at p </w:t>
      </w:r>
      <w:r w:rsidRPr="009A0C8F">
        <w:rPr>
          <w:rFonts w:ascii="Arial" w:hAnsi="Arial" w:cs="Arial"/>
          <w:sz w:val="20"/>
          <w:szCs w:val="20"/>
          <w:u w:val="single"/>
        </w:rPr>
        <w:t>&lt;</w:t>
      </w:r>
      <w:r w:rsidRPr="009A0C8F">
        <w:rPr>
          <w:rFonts w:ascii="Arial" w:hAnsi="Arial" w:cs="Arial"/>
          <w:sz w:val="20"/>
          <w:szCs w:val="20"/>
        </w:rPr>
        <w:t xml:space="preserve"> 0.05</w:t>
      </w:r>
      <w:r>
        <w:rPr>
          <w:rFonts w:ascii="Arial" w:hAnsi="Arial" w:cs="Arial"/>
          <w:sz w:val="20"/>
          <w:szCs w:val="20"/>
        </w:rPr>
        <w:t xml:space="preserve">; meanwhile, </w:t>
      </w:r>
      <w:r w:rsidRPr="009A0C8F">
        <w:rPr>
          <w:rFonts w:ascii="Arial" w:hAnsi="Arial" w:cs="Arial"/>
          <w:sz w:val="20"/>
          <w:szCs w:val="20"/>
        </w:rPr>
        <w:t>comparison</w:t>
      </w:r>
      <w:r>
        <w:rPr>
          <w:rFonts w:ascii="Arial" w:hAnsi="Arial" w:cs="Arial"/>
          <w:sz w:val="20"/>
          <w:szCs w:val="20"/>
        </w:rPr>
        <w:t xml:space="preserve"> between paired designated population</w:t>
      </w:r>
      <w:r w:rsidRPr="009A0C8F">
        <w:rPr>
          <w:rFonts w:ascii="Arial" w:hAnsi="Arial" w:cs="Arial"/>
          <w:sz w:val="20"/>
          <w:szCs w:val="20"/>
        </w:rPr>
        <w:t xml:space="preserve"> </w:t>
      </w:r>
      <w:r>
        <w:rPr>
          <w:rFonts w:ascii="Arial" w:hAnsi="Arial" w:cs="Arial"/>
          <w:sz w:val="20"/>
          <w:szCs w:val="20"/>
        </w:rPr>
        <w:t>were evaluated using the T-test at level 0.05.</w:t>
      </w:r>
      <w:r w:rsidRPr="009A0C8F">
        <w:rPr>
          <w:rFonts w:ascii="Arial" w:hAnsi="Arial" w:cs="Arial"/>
          <w:sz w:val="20"/>
          <w:szCs w:val="20"/>
        </w:rPr>
        <w:t xml:space="preserve"> </w:t>
      </w:r>
    </w:p>
    <w:p w:rsidR="004F415E" w:rsidRDefault="004F415E" w:rsidP="004F415E">
      <w:pPr>
        <w:spacing w:before="120" w:after="120" w:line="360" w:lineRule="auto"/>
        <w:jc w:val="both"/>
      </w:pPr>
    </w:p>
    <w:p w:rsidR="004F415E" w:rsidRPr="00205A6B" w:rsidRDefault="004F415E" w:rsidP="004F415E">
      <w:pPr>
        <w:autoSpaceDE w:val="0"/>
        <w:autoSpaceDN w:val="0"/>
        <w:adjustRightInd w:val="0"/>
        <w:spacing w:line="360" w:lineRule="auto"/>
        <w:jc w:val="center"/>
        <w:rPr>
          <w:rFonts w:ascii="Arial" w:hAnsi="Arial" w:cs="Arial"/>
          <w:b/>
          <w:sz w:val="20"/>
          <w:szCs w:val="20"/>
        </w:rPr>
      </w:pPr>
      <w:r w:rsidRPr="00205A6B">
        <w:rPr>
          <w:rFonts w:ascii="Arial" w:hAnsi="Arial" w:cs="Arial"/>
          <w:b/>
          <w:sz w:val="20"/>
          <w:szCs w:val="20"/>
        </w:rPr>
        <w:t>RESULTS AND DISCUSSION</w:t>
      </w:r>
    </w:p>
    <w:p w:rsidR="004F415E" w:rsidRPr="00193B49" w:rsidRDefault="004F415E" w:rsidP="004F415E">
      <w:pPr>
        <w:spacing w:before="120" w:after="120" w:line="360" w:lineRule="auto"/>
        <w:jc w:val="both"/>
        <w:rPr>
          <w:rFonts w:ascii="Arial" w:hAnsi="Arial" w:cs="Arial"/>
          <w:b/>
          <w:sz w:val="20"/>
          <w:szCs w:val="20"/>
        </w:rPr>
      </w:pPr>
      <w:r w:rsidRPr="00193B49">
        <w:rPr>
          <w:rFonts w:ascii="Arial" w:hAnsi="Arial" w:cs="Arial"/>
          <w:b/>
          <w:sz w:val="20"/>
          <w:szCs w:val="20"/>
        </w:rPr>
        <w:t xml:space="preserve">Growth </w:t>
      </w:r>
      <w:r>
        <w:rPr>
          <w:rFonts w:ascii="Arial" w:hAnsi="Arial" w:cs="Arial"/>
          <w:b/>
          <w:sz w:val="20"/>
          <w:szCs w:val="20"/>
        </w:rPr>
        <w:t>S</w:t>
      </w:r>
      <w:r w:rsidRPr="00193B49">
        <w:rPr>
          <w:rFonts w:ascii="Arial" w:hAnsi="Arial" w:cs="Arial"/>
          <w:b/>
          <w:sz w:val="20"/>
          <w:szCs w:val="20"/>
        </w:rPr>
        <w:t xml:space="preserve">uppression </w:t>
      </w:r>
      <w:r>
        <w:rPr>
          <w:rFonts w:ascii="Arial" w:hAnsi="Arial" w:cs="Arial"/>
          <w:b/>
          <w:sz w:val="20"/>
          <w:szCs w:val="20"/>
        </w:rPr>
        <w:t>due to</w:t>
      </w:r>
      <w:r w:rsidRPr="00193B49">
        <w:rPr>
          <w:rFonts w:ascii="Arial" w:hAnsi="Arial" w:cs="Arial"/>
          <w:b/>
          <w:sz w:val="20"/>
          <w:szCs w:val="20"/>
        </w:rPr>
        <w:t xml:space="preserve"> </w:t>
      </w:r>
      <w:r>
        <w:rPr>
          <w:rFonts w:ascii="Arial" w:hAnsi="Arial" w:cs="Arial"/>
          <w:b/>
          <w:sz w:val="20"/>
          <w:szCs w:val="20"/>
        </w:rPr>
        <w:t>SWT E</w:t>
      </w:r>
      <w:r w:rsidRPr="00193B49">
        <w:rPr>
          <w:rFonts w:ascii="Arial" w:hAnsi="Arial" w:cs="Arial"/>
          <w:b/>
          <w:sz w:val="20"/>
          <w:szCs w:val="20"/>
        </w:rPr>
        <w:t>xposure</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 xml:space="preserve">Roots are directly affected organ during occurrence of stress related to substrate water status (Yu et al., 2018). This research confirmed the argument, as root length and fresh weight were affected significantly by SWT exposure (Table 1). Root </w:t>
      </w:r>
      <w:r>
        <w:rPr>
          <w:rFonts w:ascii="Arial" w:hAnsi="Arial" w:cs="Arial"/>
          <w:sz w:val="20"/>
          <w:szCs w:val="20"/>
        </w:rPr>
        <w:t>extension</w:t>
      </w:r>
      <w:r w:rsidRPr="00205A6B">
        <w:rPr>
          <w:rFonts w:ascii="Arial" w:hAnsi="Arial" w:cs="Arial"/>
          <w:sz w:val="20"/>
          <w:szCs w:val="20"/>
        </w:rPr>
        <w:t xml:space="preserve"> was significantly </w:t>
      </w:r>
      <w:r>
        <w:rPr>
          <w:rFonts w:ascii="Arial" w:hAnsi="Arial" w:cs="Arial"/>
          <w:sz w:val="20"/>
          <w:szCs w:val="20"/>
        </w:rPr>
        <w:t>limited</w:t>
      </w:r>
      <w:r w:rsidRPr="00205A6B">
        <w:rPr>
          <w:rFonts w:ascii="Arial" w:hAnsi="Arial" w:cs="Arial"/>
          <w:sz w:val="20"/>
          <w:szCs w:val="20"/>
        </w:rPr>
        <w:t xml:space="preserve"> and root fresh weight was significantly reduced if water table was at the shallowest position, i.e. at 5 cm below substrate surface (</w:t>
      </w:r>
      <w:r w:rsidRPr="00205A6B">
        <w:rPr>
          <w:rFonts w:ascii="Arial" w:eastAsia="Times New Roman" w:hAnsi="Arial" w:cs="Arial"/>
          <w:sz w:val="20"/>
          <w:szCs w:val="20"/>
          <w:lang w:eastAsia="id-ID"/>
        </w:rPr>
        <w:t>SWT</w:t>
      </w:r>
      <w:r w:rsidRPr="00205A6B">
        <w:rPr>
          <w:rFonts w:ascii="Arial" w:eastAsia="Times New Roman" w:hAnsi="Arial" w:cs="Arial"/>
          <w:sz w:val="20"/>
          <w:szCs w:val="20"/>
          <w:vertAlign w:val="subscript"/>
          <w:lang w:eastAsia="id-ID"/>
        </w:rPr>
        <w:t>-5</w:t>
      </w:r>
      <w:r w:rsidRPr="00205A6B">
        <w:rPr>
          <w:rFonts w:ascii="Arial" w:hAnsi="Arial" w:cs="Arial"/>
          <w:sz w:val="20"/>
          <w:szCs w:val="20"/>
        </w:rPr>
        <w:t>). Root fresh weight was cut to less than half if water table was at 5 cm compared to at 15 cm below substrate surface. This indicated that common bean plant was sensitive to SWT condition. Root growth suppression eventually also affected growth of aerial organs.</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Water table is considered as transitional thin layer between anaerobic and aerobic zone within the growing substrate. Oxygen availability below water table is very low and oxygen transport within water saturated substrate is also very slow (Phukan, Mishra, &amp;Shukla, 2016). Therefore, this hypoxic condition seriously disturb</w:t>
      </w:r>
      <w:r>
        <w:rPr>
          <w:rFonts w:ascii="Arial" w:hAnsi="Arial" w:cs="Arial"/>
          <w:sz w:val="20"/>
          <w:szCs w:val="20"/>
        </w:rPr>
        <w:t>ed</w:t>
      </w:r>
      <w:r w:rsidRPr="00205A6B">
        <w:rPr>
          <w:rFonts w:ascii="Arial" w:hAnsi="Arial" w:cs="Arial"/>
          <w:sz w:val="20"/>
          <w:szCs w:val="20"/>
        </w:rPr>
        <w:t xml:space="preserve"> aerobic metabolism in roots of sensitive plants (António et al., 2016), such as common bean. However, root regrowth after SWT exposure was terminated had been previously observed (Lakitan, Kadir, Wijaya,</w:t>
      </w:r>
      <w:r>
        <w:rPr>
          <w:rFonts w:ascii="Arial" w:hAnsi="Arial" w:cs="Arial"/>
          <w:sz w:val="20"/>
          <w:szCs w:val="20"/>
        </w:rPr>
        <w:t xml:space="preserve"> </w:t>
      </w:r>
      <w:r w:rsidRPr="000D3FE0">
        <w:rPr>
          <w:rFonts w:ascii="Arial" w:eastAsia="Times New Roman" w:hAnsi="Arial" w:cs="Arial"/>
          <w:sz w:val="20"/>
          <w:szCs w:val="20"/>
        </w:rPr>
        <w:t>&amp; Susilawati</w:t>
      </w:r>
      <w:r>
        <w:rPr>
          <w:rFonts w:ascii="Arial" w:eastAsia="Times New Roman" w:hAnsi="Arial" w:cs="Arial"/>
          <w:sz w:val="20"/>
          <w:szCs w:val="20"/>
        </w:rPr>
        <w:t>,</w:t>
      </w:r>
      <w:r w:rsidRPr="00205A6B">
        <w:rPr>
          <w:rFonts w:ascii="Arial" w:hAnsi="Arial" w:cs="Arial"/>
          <w:sz w:val="20"/>
          <w:szCs w:val="20"/>
        </w:rPr>
        <w:t xml:space="preserve"> 2018).</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Leaf has been recognized as a sensitive organ to abiotic stress (Clauw et al., 2015). Therefore, this study was focused on leaf response to SWT exposure. Total leaf area per plant (TLA), specific leaf area (SLA), and leaf area ratio (LAR) were significantly and negatively affected by SWT exposure (Table 2). TLA decreased more than three folds in bean plant exposed to water table at 5 cm compared to at 15 cm below substrate surface. The trends were similar for SLA and LAR even magnitude of decreases were more moderate. Decrease in TLA was not only associated with smaller leaves developed during SWT exposure but also due to early senescence of older leaves. Lower SLA is an indication of smaller but thicker leaf; while LAR was associated with photosynthetic efficiency at the whole plant level.</w:t>
      </w:r>
    </w:p>
    <w:p w:rsidR="004F415E" w:rsidRPr="00205A6B" w:rsidRDefault="004F415E" w:rsidP="004F415E">
      <w:pPr>
        <w:autoSpaceDE w:val="0"/>
        <w:autoSpaceDN w:val="0"/>
        <w:adjustRightInd w:val="0"/>
        <w:spacing w:before="120" w:after="120" w:line="360" w:lineRule="auto"/>
        <w:jc w:val="both"/>
        <w:rPr>
          <w:rFonts w:ascii="Arial" w:eastAsia="Times New Roman" w:hAnsi="Arial" w:cs="Arial"/>
          <w:sz w:val="20"/>
          <w:szCs w:val="20"/>
          <w:lang w:eastAsia="id-ID"/>
        </w:rPr>
      </w:pPr>
      <w:r w:rsidRPr="00205A6B">
        <w:rPr>
          <w:rFonts w:ascii="Arial" w:hAnsi="Arial" w:cs="Arial"/>
          <w:sz w:val="20"/>
          <w:szCs w:val="20"/>
        </w:rPr>
        <w:lastRenderedPageBreak/>
        <w:t>These results justified that disturbance in root functions and metabolism also significantly affected growth of aerial organs, especially leaf. Lower</w:t>
      </w:r>
      <w:r w:rsidRPr="00205A6B">
        <w:rPr>
          <w:rFonts w:ascii="Arial" w:eastAsia="Times New Roman" w:hAnsi="Arial" w:cs="Arial"/>
          <w:sz w:val="20"/>
          <w:szCs w:val="20"/>
          <w:lang w:eastAsia="id-ID"/>
        </w:rPr>
        <w:t xml:space="preserve"> TLA was mainly associated with limited water uptake by roots. Lower cellular water content directly diminished internal hydraulic pressure, starting at individual cell, tissue, and cumulatively affected leaf of the SWT-treated plant. Low SLA was exhibited by appearance of thicker but smaller leaf. Furthermore, plant with low LAR was visually characterized by less number and/or smaller leaves. In this case, fewer leaves were predominantly due to early senescence of old leaves (</w:t>
      </w:r>
      <w:r w:rsidRPr="00205A6B">
        <w:rPr>
          <w:rFonts w:ascii="Arial" w:hAnsi="Arial" w:cs="Arial"/>
          <w:sz w:val="20"/>
          <w:szCs w:val="20"/>
        </w:rPr>
        <w:t xml:space="preserve">Sade, del Mar Rubio-Wilhelmi, Umnajkitikorn, &amp; Blumwald, 2017) </w:t>
      </w:r>
      <w:r w:rsidRPr="00205A6B">
        <w:rPr>
          <w:rFonts w:ascii="Arial" w:eastAsia="Times New Roman" w:hAnsi="Arial" w:cs="Arial"/>
          <w:sz w:val="20"/>
          <w:szCs w:val="20"/>
          <w:lang w:eastAsia="id-ID"/>
        </w:rPr>
        <w:t>and some of the leaves had fallen off during exposure to SWT.</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Decline in  leaf area and other aerial growth parameters were also found in</w:t>
      </w:r>
      <w:r>
        <w:rPr>
          <w:rFonts w:ascii="Arial" w:hAnsi="Arial" w:cs="Arial"/>
          <w:sz w:val="20"/>
          <w:szCs w:val="20"/>
        </w:rPr>
        <w:t xml:space="preserve"> </w:t>
      </w:r>
      <w:r w:rsidRPr="00205A6B">
        <w:rPr>
          <w:rFonts w:ascii="Arial" w:hAnsi="Arial" w:cs="Arial"/>
          <w:sz w:val="20"/>
          <w:szCs w:val="20"/>
        </w:rPr>
        <w:t>field bean (</w:t>
      </w:r>
      <w:r w:rsidRPr="00107BBA">
        <w:rPr>
          <w:rFonts w:ascii="Arial" w:hAnsi="Arial" w:cs="Arial"/>
          <w:sz w:val="20"/>
          <w:szCs w:val="20"/>
        </w:rPr>
        <w:t>Pochiecha</w:t>
      </w:r>
      <w:r w:rsidRPr="00205A6B">
        <w:rPr>
          <w:rFonts w:ascii="Arial" w:hAnsi="Arial" w:cs="Arial"/>
          <w:sz w:val="20"/>
          <w:szCs w:val="20"/>
        </w:rPr>
        <w:t>, 2013), gooseberry (Aldana, Garcia &amp; Fischer, 2014), and white jabon (Sudrajat, Siregar, Khumaida, Siregar &amp; Mansur, 2015) under hypoxic rhizosphere condition.  The decrease in plant growth and development was induced by drought stress associated with reduction in plant water status. Furthermore, the stress reduced shoot elongation and leaf expansion followed by decrese in photosynthetic activities (Ntukamazina et al., 2017), mainly due to stomatal closure, photosynthetic enzymes activity, reduced chlorophyll content, and smaller leaf area (Aldana, Garcia &amp; Fischer, 2014).</w:t>
      </w:r>
    </w:p>
    <w:p w:rsidR="004F415E" w:rsidRPr="00193B49" w:rsidRDefault="004F415E" w:rsidP="004F415E">
      <w:pPr>
        <w:spacing w:before="120" w:after="120" w:line="360" w:lineRule="auto"/>
        <w:jc w:val="both"/>
        <w:rPr>
          <w:rFonts w:ascii="Arial" w:hAnsi="Arial" w:cs="Arial"/>
          <w:b/>
          <w:sz w:val="20"/>
          <w:szCs w:val="20"/>
        </w:rPr>
      </w:pPr>
      <w:r w:rsidRPr="00193B49">
        <w:rPr>
          <w:rFonts w:ascii="Arial" w:hAnsi="Arial" w:cs="Arial"/>
          <w:b/>
          <w:sz w:val="20"/>
          <w:szCs w:val="20"/>
        </w:rPr>
        <w:t>Effects of SWT on Leaf Water Status, Proline Content, and SPAD Value</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Relative leaf water content (RLWC) is widely used to indicate plant water status, since it expresses the relative amount of water in plant tissues (An, Qi, &amp; Wang, 2016).  Deeper water table below the substrate surface increased volume of aerobic rhizosphere, i.e. more roots subjected to oxygen available substrate, hence less disruption to root metabolism. As a result, the substrate condition was more suitable for root growth; therefore, increased water and nutrient uptakes and their transport to leaves (Lakitan, Kadir, Wijaya,</w:t>
      </w:r>
      <w:r>
        <w:rPr>
          <w:rFonts w:ascii="Arial" w:hAnsi="Arial" w:cs="Arial"/>
          <w:sz w:val="20"/>
          <w:szCs w:val="20"/>
        </w:rPr>
        <w:t xml:space="preserve"> </w:t>
      </w:r>
      <w:r w:rsidRPr="000D3FE0">
        <w:rPr>
          <w:rFonts w:ascii="Arial" w:eastAsia="Times New Roman" w:hAnsi="Arial" w:cs="Arial"/>
          <w:sz w:val="20"/>
          <w:szCs w:val="20"/>
        </w:rPr>
        <w:t>&amp; Susilawati</w:t>
      </w:r>
      <w:r>
        <w:rPr>
          <w:rFonts w:ascii="Arial" w:eastAsia="Times New Roman" w:hAnsi="Arial" w:cs="Arial"/>
          <w:sz w:val="20"/>
          <w:szCs w:val="20"/>
        </w:rPr>
        <w:t>,</w:t>
      </w:r>
      <w:r w:rsidRPr="00205A6B">
        <w:rPr>
          <w:rFonts w:ascii="Arial" w:hAnsi="Arial" w:cs="Arial"/>
          <w:sz w:val="20"/>
          <w:szCs w:val="20"/>
        </w:rPr>
        <w:t xml:space="preserve"> 2018).</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This study disclosed that RLWC significantly increased in bean plants during the first 12 days of SWT treatments (SWT</w:t>
      </w:r>
      <w:r w:rsidRPr="00205A6B">
        <w:rPr>
          <w:rFonts w:ascii="Arial" w:hAnsi="Arial" w:cs="Arial"/>
          <w:sz w:val="20"/>
          <w:szCs w:val="20"/>
          <w:vertAlign w:val="subscript"/>
        </w:rPr>
        <w:t>-5</w:t>
      </w:r>
      <w:r w:rsidRPr="00205A6B">
        <w:rPr>
          <w:rFonts w:ascii="Arial" w:hAnsi="Arial" w:cs="Arial"/>
          <w:sz w:val="20"/>
          <w:szCs w:val="20"/>
        </w:rPr>
        <w:t xml:space="preserve"> and SWT</w:t>
      </w:r>
      <w:r w:rsidRPr="00205A6B">
        <w:rPr>
          <w:rFonts w:ascii="Arial" w:hAnsi="Arial" w:cs="Arial"/>
          <w:sz w:val="20"/>
          <w:szCs w:val="20"/>
          <w:vertAlign w:val="subscript"/>
        </w:rPr>
        <w:t>-10</w:t>
      </w:r>
      <w:r w:rsidRPr="00205A6B">
        <w:rPr>
          <w:rFonts w:ascii="Arial" w:hAnsi="Arial" w:cs="Arial"/>
          <w:sz w:val="20"/>
          <w:szCs w:val="20"/>
        </w:rPr>
        <w:t>). After 18 days of the SWT treatment, however, RLWC in plant treated with shallowest water table (SWT-5) was significantly decrease (Table 3). This finding implied that function of roots of bean plant on water uptake were not negatively affected and/or the leaves functioned well on preserving water during the first 12 days of the SWT treatment, presumably by reducing transpiration rate via stomatal closure mechanism. Common bean plant exhibited ability to recover within 4 days after termination of SWT exposure (Table 3).</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Sufficient oxygen availability in soil could increase </w:t>
      </w:r>
      <w:r w:rsidRPr="00205A6B">
        <w:rPr>
          <w:rFonts w:ascii="Arial" w:eastAsiaTheme="minorHAnsi" w:hAnsi="Arial" w:cs="Arial"/>
          <w:sz w:val="20"/>
          <w:szCs w:val="20"/>
        </w:rPr>
        <w:t xml:space="preserve">ability of root systems to uptake and transport water and minerals to aerial plant parts (Restrevo-Diaz,  Melgar &amp; Lombardini, 2010). Stomatal closure was a usual phenomena in many species under hypoxia condition (Biswas &amp; Kalra, 2018) . </w:t>
      </w:r>
      <w:r w:rsidRPr="00205A6B">
        <w:rPr>
          <w:rFonts w:ascii="Arial" w:hAnsi="Arial" w:cs="Arial"/>
          <w:sz w:val="20"/>
          <w:szCs w:val="20"/>
        </w:rPr>
        <w:t xml:space="preserve">Stomatal closure increased water saving in plants (Aldana, Garcia &amp; Fischer, 2014; Aydogan </w:t>
      </w:r>
      <w:r>
        <w:rPr>
          <w:rFonts w:ascii="Arial" w:hAnsi="Arial" w:cs="Arial"/>
          <w:sz w:val="20"/>
          <w:szCs w:val="20"/>
        </w:rPr>
        <w:t>&amp;</w:t>
      </w:r>
      <w:r w:rsidRPr="00205A6B">
        <w:rPr>
          <w:rFonts w:ascii="Arial" w:hAnsi="Arial" w:cs="Arial"/>
          <w:sz w:val="20"/>
          <w:szCs w:val="20"/>
        </w:rPr>
        <w:t xml:space="preserve"> Turhan, 2015).  Nevertheless, prolong hypoxia condition in the rhizospher could decrease root ability to absorb water due to metabolism switch from aerobic to anaerobic respiration (Aldana, Garcia &amp; Fischer, 2014). </w:t>
      </w:r>
      <w:r w:rsidRPr="00205A6B">
        <w:rPr>
          <w:rFonts w:ascii="Arial" w:eastAsiaTheme="minorHAnsi" w:hAnsi="Arial" w:cs="Arial"/>
          <w:sz w:val="20"/>
          <w:szCs w:val="20"/>
        </w:rPr>
        <w:t xml:space="preserve">This causes a reduction in ATP </w:t>
      </w:r>
      <w:r w:rsidRPr="00205A6B">
        <w:rPr>
          <w:rFonts w:ascii="Arial" w:eastAsiaTheme="minorHAnsi" w:hAnsi="Arial" w:cs="Arial"/>
          <w:sz w:val="20"/>
          <w:szCs w:val="20"/>
        </w:rPr>
        <w:lastRenderedPageBreak/>
        <w:t xml:space="preserve">production resulting in reduced available energy for normal plant metabolic processes in root  (Pradhan &amp; Mohanty, 2013).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Proline content in plant leaf has been widely used as an indicator for abiotic stress whereas proline accumulation detected in most of plants under abiotic stresses (Hayat et al., 2012; Yaish, 2015</w:t>
      </w:r>
      <w:r>
        <w:rPr>
          <w:rFonts w:ascii="Arial" w:hAnsi="Arial" w:cs="Arial"/>
          <w:sz w:val="20"/>
          <w:szCs w:val="20"/>
        </w:rPr>
        <w:t xml:space="preserve">; </w:t>
      </w:r>
      <w:r w:rsidRPr="003B3172">
        <w:rPr>
          <w:rFonts w:ascii="Arial" w:hAnsi="Arial" w:cs="Arial"/>
          <w:sz w:val="20"/>
          <w:szCs w:val="20"/>
        </w:rPr>
        <w:t>Barunawati, Maghfoer, Kendarini, &amp; Aini, 2016</w:t>
      </w:r>
      <w:r w:rsidRPr="00205A6B">
        <w:rPr>
          <w:rFonts w:ascii="Arial" w:hAnsi="Arial" w:cs="Arial"/>
          <w:sz w:val="20"/>
          <w:szCs w:val="20"/>
        </w:rPr>
        <w:t>), including under excessive soil water content or oxygen deficiency, both associated with SWT condition.</w:t>
      </w:r>
      <w:r>
        <w:rPr>
          <w:rFonts w:ascii="Arial" w:hAnsi="Arial" w:cs="Arial"/>
          <w:sz w:val="20"/>
          <w:szCs w:val="20"/>
        </w:rPr>
        <w:t xml:space="preserve"> </w:t>
      </w:r>
      <w:r w:rsidRPr="00205A6B">
        <w:rPr>
          <w:rFonts w:ascii="Arial" w:hAnsi="Arial" w:cs="Arial"/>
          <w:sz w:val="20"/>
          <w:szCs w:val="20"/>
        </w:rPr>
        <w:t>In this study, during the first 12 days of the SWT treatments, there was no significant difference amongst plant exposed to water table at 15 cm to 5 cm below substrate surface. The differences were detected at 18 DoT and at 4 DoR (Table 4). Significant differences in proline content at 4 DoR indicated that the bean plant used in this study had not fully recovered despite the RLWC indicated differently (Table 3).</w:t>
      </w:r>
    </w:p>
    <w:p w:rsidR="004F415E" w:rsidRPr="00205A6B" w:rsidRDefault="004F415E" w:rsidP="004F415E">
      <w:pPr>
        <w:autoSpaceDE w:val="0"/>
        <w:autoSpaceDN w:val="0"/>
        <w:adjustRightInd w:val="0"/>
        <w:spacing w:before="120" w:after="120" w:line="360" w:lineRule="auto"/>
        <w:jc w:val="both"/>
        <w:rPr>
          <w:rFonts w:ascii="Arial" w:eastAsia="Times New Roman" w:hAnsi="Arial" w:cs="Arial"/>
          <w:sz w:val="20"/>
          <w:szCs w:val="20"/>
          <w:lang w:eastAsia="id-ID"/>
        </w:rPr>
      </w:pPr>
      <w:r w:rsidRPr="00205A6B">
        <w:rPr>
          <w:rFonts w:ascii="Arial" w:hAnsi="Arial" w:cs="Arial"/>
          <w:sz w:val="20"/>
          <w:szCs w:val="20"/>
        </w:rPr>
        <w:t xml:space="preserve">SPAD values of the bean plant exposed to </w:t>
      </w:r>
      <w:r w:rsidRPr="00205A6B">
        <w:rPr>
          <w:rFonts w:ascii="Arial" w:eastAsia="Times New Roman" w:hAnsi="Arial" w:cs="Arial"/>
          <w:sz w:val="20"/>
          <w:szCs w:val="20"/>
          <w:lang w:eastAsia="id-ID"/>
        </w:rPr>
        <w:t>SWT</w:t>
      </w:r>
      <w:r w:rsidRPr="00205A6B">
        <w:rPr>
          <w:rFonts w:ascii="Arial" w:eastAsia="Times New Roman" w:hAnsi="Arial" w:cs="Arial"/>
          <w:sz w:val="20"/>
          <w:szCs w:val="20"/>
          <w:vertAlign w:val="subscript"/>
          <w:lang w:eastAsia="id-ID"/>
        </w:rPr>
        <w:t>-5</w:t>
      </w:r>
      <w:r w:rsidRPr="00205A6B">
        <w:rPr>
          <w:rFonts w:ascii="Arial" w:eastAsia="Times New Roman" w:hAnsi="Arial" w:cs="Arial"/>
          <w:sz w:val="20"/>
          <w:szCs w:val="20"/>
          <w:lang w:eastAsia="id-ID"/>
        </w:rPr>
        <w:t xml:space="preserve"> were consistently and significantly lower than those of plant exposed to SWT</w:t>
      </w:r>
      <w:r w:rsidRPr="00205A6B">
        <w:rPr>
          <w:rFonts w:ascii="Arial" w:eastAsia="Times New Roman" w:hAnsi="Arial" w:cs="Arial"/>
          <w:sz w:val="20"/>
          <w:szCs w:val="20"/>
          <w:vertAlign w:val="subscript"/>
          <w:lang w:eastAsia="id-ID"/>
        </w:rPr>
        <w:t>-15</w:t>
      </w:r>
      <w:r w:rsidRPr="00205A6B">
        <w:rPr>
          <w:rFonts w:ascii="Arial" w:eastAsia="Times New Roman" w:hAnsi="Arial" w:cs="Arial"/>
          <w:sz w:val="20"/>
          <w:szCs w:val="20"/>
          <w:lang w:eastAsia="id-ID"/>
        </w:rPr>
        <w:t xml:space="preserve"> at all of measurement during and after SWT treatment (Table 4). These consistent differences were similar between primary and secondary growth parameters shown in Table1 and 2. Since SPAD value has been proven as reliable estimation of leaf chlorophyll content; therefore, it can be expected that shallower water table position decreased leaf chlorophyll content and reduced photosynthetic capacity of bean plants. Furthermore, reduction in photosynthetic rates inhibited growth of multiple organs, both their weight and, most cases, also their dimension, i.e. leaf area.</w:t>
      </w:r>
    </w:p>
    <w:p w:rsidR="004F415E" w:rsidRPr="00193B49" w:rsidRDefault="004F415E" w:rsidP="004F415E">
      <w:pPr>
        <w:autoSpaceDE w:val="0"/>
        <w:autoSpaceDN w:val="0"/>
        <w:adjustRightInd w:val="0"/>
        <w:spacing w:before="120" w:after="120" w:line="360" w:lineRule="auto"/>
        <w:jc w:val="both"/>
        <w:rPr>
          <w:rFonts w:ascii="Arial" w:hAnsi="Arial" w:cs="Arial"/>
          <w:b/>
          <w:sz w:val="20"/>
          <w:szCs w:val="20"/>
        </w:rPr>
      </w:pPr>
      <w:r w:rsidRPr="00193B49">
        <w:rPr>
          <w:rFonts w:ascii="Arial" w:hAnsi="Arial" w:cs="Arial"/>
          <w:b/>
          <w:sz w:val="20"/>
          <w:szCs w:val="20"/>
        </w:rPr>
        <w:t>Role of ALA in Overcoming Stress due to SWT Exposure</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Root length, root fresh weight and shoot fresh weight in common bean were severely decreased under shallower water table conditions (SWT</w:t>
      </w:r>
      <w:r w:rsidRPr="00205A6B">
        <w:rPr>
          <w:rFonts w:ascii="Arial" w:hAnsi="Arial" w:cs="Arial"/>
          <w:sz w:val="20"/>
          <w:szCs w:val="20"/>
          <w:vertAlign w:val="subscript"/>
        </w:rPr>
        <w:t>-5</w:t>
      </w:r>
      <w:r w:rsidRPr="00205A6B">
        <w:rPr>
          <w:rFonts w:ascii="Arial" w:hAnsi="Arial" w:cs="Arial"/>
          <w:sz w:val="20"/>
          <w:szCs w:val="20"/>
        </w:rPr>
        <w:t xml:space="preserve"> and SWT</w:t>
      </w:r>
      <w:r w:rsidRPr="00205A6B">
        <w:rPr>
          <w:rFonts w:ascii="Arial" w:hAnsi="Arial" w:cs="Arial"/>
          <w:sz w:val="20"/>
          <w:szCs w:val="20"/>
          <w:vertAlign w:val="subscript"/>
        </w:rPr>
        <w:t>-10</w:t>
      </w:r>
      <w:r w:rsidRPr="00205A6B">
        <w:rPr>
          <w:rFonts w:ascii="Arial" w:hAnsi="Arial" w:cs="Arial"/>
          <w:sz w:val="20"/>
          <w:szCs w:val="20"/>
        </w:rPr>
        <w:t>) in plants were not treated with ALA. Meanwhile, application of ALA at 4 days prior to SWT treatment (at 14 DAP) had effectively overcome negative effect of SWT at depth of -5 cm (SWT</w:t>
      </w:r>
      <w:r w:rsidRPr="00205A6B">
        <w:rPr>
          <w:rFonts w:ascii="Arial" w:hAnsi="Arial" w:cs="Arial"/>
          <w:sz w:val="20"/>
          <w:szCs w:val="20"/>
          <w:vertAlign w:val="subscript"/>
        </w:rPr>
        <w:t>-5</w:t>
      </w:r>
      <w:r w:rsidRPr="00205A6B">
        <w:rPr>
          <w:rFonts w:ascii="Arial" w:hAnsi="Arial" w:cs="Arial"/>
          <w:sz w:val="20"/>
          <w:szCs w:val="20"/>
        </w:rPr>
        <w:t>) and -10 cm (SWT</w:t>
      </w:r>
      <w:r w:rsidRPr="00205A6B">
        <w:rPr>
          <w:rFonts w:ascii="Arial" w:hAnsi="Arial" w:cs="Arial"/>
          <w:sz w:val="20"/>
          <w:szCs w:val="20"/>
          <w:vertAlign w:val="subscript"/>
        </w:rPr>
        <w:t>-10</w:t>
      </w:r>
      <w:r w:rsidRPr="00205A6B">
        <w:rPr>
          <w:rFonts w:ascii="Arial" w:hAnsi="Arial" w:cs="Arial"/>
          <w:sz w:val="20"/>
          <w:szCs w:val="20"/>
        </w:rPr>
        <w:t>) as indicated by significantly longer roots in ALA treated plants. However, application of ALA at latter stages (T</w:t>
      </w:r>
      <w:r w:rsidRPr="00205A6B">
        <w:rPr>
          <w:rFonts w:ascii="Arial" w:hAnsi="Arial" w:cs="Arial"/>
          <w:sz w:val="20"/>
          <w:szCs w:val="20"/>
          <w:vertAlign w:val="subscript"/>
        </w:rPr>
        <w:t>28</w:t>
      </w:r>
      <w:r w:rsidRPr="00205A6B">
        <w:rPr>
          <w:rFonts w:ascii="Arial" w:hAnsi="Arial" w:cs="Arial"/>
          <w:sz w:val="20"/>
          <w:szCs w:val="20"/>
        </w:rPr>
        <w:t xml:space="preserve"> and T</w:t>
      </w:r>
      <w:r w:rsidRPr="00205A6B">
        <w:rPr>
          <w:rFonts w:ascii="Arial" w:hAnsi="Arial" w:cs="Arial"/>
          <w:sz w:val="20"/>
          <w:szCs w:val="20"/>
          <w:vertAlign w:val="subscript"/>
        </w:rPr>
        <w:t>38</w:t>
      </w:r>
      <w:r w:rsidRPr="00205A6B">
        <w:rPr>
          <w:rFonts w:ascii="Arial" w:hAnsi="Arial" w:cs="Arial"/>
          <w:sz w:val="20"/>
          <w:szCs w:val="20"/>
        </w:rPr>
        <w:t>) were not as effective. Effectiveness of ALA application at pre-SWT exposure was also observed in root and shoot fresh weights (Table 5).</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Shallow of water table has been well recognized as limiting factor to plant growth and development (Aldana, Garcia, &amp; Fischer, 2014) since it created partially hypoxic condition within rhizosphere</w:t>
      </w:r>
      <w:r>
        <w:rPr>
          <w:rFonts w:ascii="Arial" w:hAnsi="Arial" w:cs="Arial"/>
          <w:sz w:val="20"/>
          <w:szCs w:val="20"/>
        </w:rPr>
        <w:t>. In favorable condition, common bean was responsive to fertilizer application (</w:t>
      </w:r>
      <w:r w:rsidRPr="003B3172">
        <w:rPr>
          <w:rFonts w:ascii="Arial" w:hAnsi="Arial" w:cs="Arial"/>
          <w:sz w:val="20"/>
          <w:szCs w:val="20"/>
        </w:rPr>
        <w:t>Santosa</w:t>
      </w:r>
      <w:r>
        <w:rPr>
          <w:rFonts w:ascii="Arial" w:hAnsi="Arial" w:cs="Arial"/>
          <w:sz w:val="20"/>
          <w:szCs w:val="20"/>
        </w:rPr>
        <w:t xml:space="preserve">, </w:t>
      </w:r>
      <w:r w:rsidRPr="003B3172">
        <w:rPr>
          <w:rFonts w:ascii="Arial" w:hAnsi="Arial" w:cs="Arial"/>
          <w:sz w:val="20"/>
          <w:szCs w:val="20"/>
        </w:rPr>
        <w:t>Maghfoer, &amp; Tarno</w:t>
      </w:r>
      <w:r>
        <w:rPr>
          <w:rFonts w:ascii="Arial" w:hAnsi="Arial" w:cs="Arial"/>
          <w:sz w:val="20"/>
          <w:szCs w:val="20"/>
        </w:rPr>
        <w:t>, 2017) but bean plant was not as responsive under abiotic stress, especially during SWT exposure.</w:t>
      </w:r>
      <w:r w:rsidRPr="00205A6B">
        <w:rPr>
          <w:rFonts w:ascii="Arial" w:hAnsi="Arial" w:cs="Arial"/>
          <w:sz w:val="20"/>
          <w:szCs w:val="20"/>
        </w:rPr>
        <w:t xml:space="preserve"> </w:t>
      </w:r>
      <w:r>
        <w:rPr>
          <w:rFonts w:ascii="Arial" w:hAnsi="Arial" w:cs="Arial"/>
          <w:sz w:val="20"/>
          <w:szCs w:val="20"/>
        </w:rPr>
        <w:t>R</w:t>
      </w:r>
      <w:r w:rsidRPr="00205A6B">
        <w:rPr>
          <w:rFonts w:ascii="Arial" w:hAnsi="Arial" w:cs="Arial"/>
          <w:sz w:val="20"/>
          <w:szCs w:val="20"/>
        </w:rPr>
        <w:t xml:space="preserve">oots are directly exposed to oxygen deficient under shallow water table condition. Damage to roots directly reduces water potential and turgor in cells of above ground organs. As a result, cell enlargement is halted, leading to growth inhibition.  In this study, reductions of roots and shoot in common bean plant exposed to SWT was overcome by ALA application at 4 days before SWT treatment (Table 5).  Suppression of plant growth under abiotic stress was successfully prevented or overcome by ALA applications under salt stress (Anjum et al., 2016), hypoxia (An, Qi &amp; Wang, 2016), and   low temperature (Anwar, Yan, Liu, Li &amp; Yu, 2018).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lastRenderedPageBreak/>
        <w:t xml:space="preserve">Improvement of roots and shoot growth under SWT stress by ALA application is associated with enhancement in water and nutrient uptake and transport. </w:t>
      </w:r>
      <w:r w:rsidRPr="00205A6B">
        <w:rPr>
          <w:rFonts w:ascii="Arial" w:eastAsiaTheme="minorHAnsi" w:hAnsi="Arial" w:cs="Arial"/>
          <w:sz w:val="20"/>
          <w:szCs w:val="20"/>
        </w:rPr>
        <w:t xml:space="preserve">Plants exposed to hypoxia shift their metabolism from oxidative phosphorylation to anaerobic fermentation to maintain ATP production. Anaerobic fermentation is activated by ALA without resulting root injury </w:t>
      </w:r>
      <w:r w:rsidRPr="00205A6B">
        <w:rPr>
          <w:rFonts w:ascii="Arial" w:hAnsi="Arial" w:cs="Arial"/>
          <w:sz w:val="20"/>
          <w:szCs w:val="20"/>
        </w:rPr>
        <w:t>(An, Qi &amp; Wang, 2016). Meanwhile, significantly increase in roots and shoot growth after ALA application at 38 DAP associated with reoxygenation of rhizosphere as SWT treatment was terminated. Availability of oxygen in soil supports aerobic respiration and enhances root activity on water and nutrient uptakes. ALA played role on some key physiological processes in plant under abiotic stresses (Akram, Ashraf, &amp; Al-Qurainy, 2012).</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 </w:t>
      </w:r>
      <w:r w:rsidRPr="00205A6B">
        <w:rPr>
          <w:rFonts w:ascii="Arial" w:hAnsi="Arial" w:cs="Arial"/>
          <w:sz w:val="20"/>
          <w:szCs w:val="20"/>
        </w:rPr>
        <w:tab/>
        <w:t>Total leaf area (TLA), specific leaf area (SLA) and leaf area ratio (LAR) decreased significantly in common bean plant exposed to SWT at depth of -5 cm (SWT</w:t>
      </w:r>
      <w:r w:rsidRPr="00205A6B">
        <w:rPr>
          <w:rFonts w:ascii="Arial" w:hAnsi="Arial" w:cs="Arial"/>
          <w:sz w:val="20"/>
          <w:szCs w:val="20"/>
          <w:vertAlign w:val="subscript"/>
        </w:rPr>
        <w:t>-5</w:t>
      </w:r>
      <w:r w:rsidRPr="00205A6B">
        <w:rPr>
          <w:rFonts w:ascii="Arial" w:hAnsi="Arial" w:cs="Arial"/>
          <w:sz w:val="20"/>
          <w:szCs w:val="20"/>
        </w:rPr>
        <w:t>) and -10 cm (SWT</w:t>
      </w:r>
      <w:r w:rsidRPr="00205A6B">
        <w:rPr>
          <w:rFonts w:ascii="Arial" w:hAnsi="Arial" w:cs="Arial"/>
          <w:sz w:val="20"/>
          <w:szCs w:val="20"/>
          <w:vertAlign w:val="subscript"/>
        </w:rPr>
        <w:t>-10</w:t>
      </w:r>
      <w:r w:rsidRPr="00205A6B">
        <w:rPr>
          <w:rFonts w:ascii="Arial" w:hAnsi="Arial" w:cs="Arial"/>
          <w:sz w:val="20"/>
          <w:szCs w:val="20"/>
        </w:rPr>
        <w:t>), compared with control plant (Table 6).  Under SWT</w:t>
      </w:r>
      <w:r w:rsidRPr="00205A6B">
        <w:rPr>
          <w:rFonts w:ascii="Arial" w:hAnsi="Arial" w:cs="Arial"/>
          <w:sz w:val="20"/>
          <w:szCs w:val="20"/>
          <w:vertAlign w:val="subscript"/>
        </w:rPr>
        <w:t>-10</w:t>
      </w:r>
      <w:r w:rsidRPr="00205A6B">
        <w:rPr>
          <w:rFonts w:ascii="Arial" w:hAnsi="Arial" w:cs="Arial"/>
          <w:sz w:val="20"/>
          <w:szCs w:val="20"/>
        </w:rPr>
        <w:t xml:space="preserve"> condition,  ALA application at 14 DAP improved TLA, SLA and LAR  significantly, i.e. 100.9%, 109.7% and 83.6%, respectively.  Similarly,  ALA applied at 38 DAP significantly increased TLA (69.3%), SLA (91.5%) and LAR (60.3%) in plant exposed to SWT</w:t>
      </w:r>
      <w:r w:rsidRPr="00205A6B">
        <w:rPr>
          <w:rFonts w:ascii="Arial" w:hAnsi="Arial" w:cs="Arial"/>
          <w:sz w:val="20"/>
          <w:szCs w:val="20"/>
          <w:vertAlign w:val="subscript"/>
        </w:rPr>
        <w:t>-10</w:t>
      </w:r>
      <w:r w:rsidRPr="00205A6B">
        <w:rPr>
          <w:rFonts w:ascii="Arial" w:hAnsi="Arial" w:cs="Arial"/>
          <w:sz w:val="20"/>
          <w:szCs w:val="20"/>
        </w:rPr>
        <w:t xml:space="preserve">.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TLA, SLA and LAR were higher in bean plant pre-treated with ALA at 14 DAP prior to SWT exposure. Akram &amp; Ashraf (2013) reported that ALA treatment as a foliar spray exhibited considerable inﬂuence during early vegetative growth stage. ALA alleviated harmful effects of abiotic stresses by protecting chlorophyll and the photosynthetic apparatus (Anwar, Yan, Liu, Li, &amp; Yu, 2018) via osmoregulation and inhibitory effects on membrane lipid peroxidation (Ye, Chen, Tao, Wang, &amp;Xu, 2016).  Exogenous application of ALA enhanced some key physiological and biochemical processes in plants such as photosynthesis and nutrient uptake (</w:t>
      </w:r>
      <w:r w:rsidRPr="00205A6B">
        <w:rPr>
          <w:rFonts w:ascii="Arial" w:eastAsiaTheme="minorHAnsi" w:hAnsi="Arial" w:cs="Arial"/>
          <w:sz w:val="20"/>
          <w:szCs w:val="20"/>
        </w:rPr>
        <w:t>Freije, Saleh, Islam &amp; Manai, 2018)</w:t>
      </w:r>
      <w:r w:rsidRPr="00205A6B">
        <w:rPr>
          <w:rFonts w:ascii="Arial" w:hAnsi="Arial" w:cs="Arial"/>
          <w:sz w:val="20"/>
          <w:szCs w:val="20"/>
        </w:rPr>
        <w:t xml:space="preserve">. These enhanced processes promoted plant growth and development (Wu, Liao, Dawuda, Hu, &amp; Yu, 2018).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ALA application at end of SWT treatment (38 DAP) enhanced bean plants recovery, as indicated by significant increase in TLA, SLA and LAR during the first four days after SWT treatment was terminated. Significantly higher TLA, SLA, and LAR in ALA treated compared to non-treated bean plants indicated that ALA had contributed in enhancing recovery from SWT exposure.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No significant different in relative leaf water content in common bean plant under SWT condition compared to control plant, except after 18 days SWT exposure at -5 cm below substrate surface (Table 7).  ALA application at pre-SWT exposure (14 DAP) at -10 cm depth (SWT</w:t>
      </w:r>
      <w:r w:rsidRPr="00205A6B">
        <w:rPr>
          <w:rFonts w:ascii="Arial" w:hAnsi="Arial" w:cs="Arial"/>
          <w:sz w:val="20"/>
          <w:szCs w:val="20"/>
          <w:vertAlign w:val="subscript"/>
        </w:rPr>
        <w:t>-10</w:t>
      </w:r>
      <w:r w:rsidRPr="00205A6B">
        <w:rPr>
          <w:rFonts w:ascii="Arial" w:hAnsi="Arial" w:cs="Arial"/>
          <w:sz w:val="20"/>
          <w:szCs w:val="20"/>
        </w:rPr>
        <w:t>) measured at 12 DoT exhibited significantly higher RLWC in ALA-treated bean plant. Similarly, Higher RLWC also observed in bean plants exposed to SWT</w:t>
      </w:r>
      <w:r w:rsidRPr="00205A6B">
        <w:rPr>
          <w:rFonts w:ascii="Arial" w:hAnsi="Arial" w:cs="Arial"/>
          <w:sz w:val="20"/>
          <w:szCs w:val="20"/>
          <w:vertAlign w:val="subscript"/>
        </w:rPr>
        <w:t xml:space="preserve">-5 </w:t>
      </w:r>
      <w:r w:rsidRPr="00205A6B">
        <w:rPr>
          <w:rFonts w:ascii="Arial" w:hAnsi="Arial" w:cs="Arial"/>
          <w:sz w:val="20"/>
          <w:szCs w:val="20"/>
        </w:rPr>
        <w:t xml:space="preserve">and treated with ALA at 28 DAP.  However, in most cases, there was no significant different in RLWC among plants exposed to SWT at each depth, treated with ALA at different time of applications, and measured at 12 DoT, 18 DoT, and 4 DoR (Table 7).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ALA application under various abiotic stresses was effective in maintaining RLWC, such as stresses due to high salinity (Akram</w:t>
      </w:r>
      <w:r>
        <w:rPr>
          <w:rFonts w:ascii="Arial" w:hAnsi="Arial" w:cs="Arial"/>
          <w:sz w:val="20"/>
          <w:szCs w:val="20"/>
        </w:rPr>
        <w:t>,</w:t>
      </w:r>
      <w:r w:rsidRPr="00205A6B">
        <w:rPr>
          <w:rFonts w:ascii="Arial" w:hAnsi="Arial" w:cs="Arial"/>
          <w:sz w:val="20"/>
          <w:szCs w:val="20"/>
        </w:rPr>
        <w:t xml:space="preserve"> </w:t>
      </w:r>
      <w:r w:rsidRPr="000D3FE0">
        <w:rPr>
          <w:rFonts w:ascii="Arial" w:hAnsi="Arial" w:cs="Arial"/>
          <w:bCs/>
          <w:color w:val="000000"/>
          <w:sz w:val="20"/>
          <w:szCs w:val="20"/>
        </w:rPr>
        <w:t>Ashraf, &amp; Al-Qurainy</w:t>
      </w:r>
      <w:r>
        <w:rPr>
          <w:rFonts w:ascii="Arial" w:hAnsi="Arial" w:cs="Arial"/>
          <w:bCs/>
          <w:color w:val="000000"/>
          <w:sz w:val="20"/>
          <w:szCs w:val="20"/>
        </w:rPr>
        <w:t>,</w:t>
      </w:r>
      <w:r w:rsidRPr="00205A6B">
        <w:rPr>
          <w:rFonts w:ascii="Arial" w:hAnsi="Arial" w:cs="Arial"/>
          <w:sz w:val="20"/>
          <w:szCs w:val="20"/>
        </w:rPr>
        <w:t xml:space="preserve"> 2012; Liu, Nguyen, Ueda, &amp; Saneoka, 2014; Yang, Chang, Sun, Yu, &amp; Huang, 2014); low temperature (Manafi, Modarressanavy, Aghaalikhani, &amp; Dolatabadian, 2015); </w:t>
      </w:r>
      <w:r w:rsidRPr="00205A6B">
        <w:rPr>
          <w:rFonts w:ascii="Arial" w:hAnsi="Arial" w:cs="Arial"/>
          <w:sz w:val="20"/>
          <w:szCs w:val="20"/>
        </w:rPr>
        <w:lastRenderedPageBreak/>
        <w:t xml:space="preserve">and waterlogging condition (An, Qi, &amp; Wang, 2016). ALA maintained cellular hydration (Yang, Chang, Sun, Yu, &amp; Huang, 2014), stabilized root vigor and enhanced their water uptake capacity (An, Qi, &amp; Wang, 2016).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In this study, RLWC maintenance in SWT-exposed plants (Table 7) was at cost of TLA reduction (Table 6) in effort to balance limited water uptake by partially damaged root system (Table 5). Ability to maintain RLWC in bean plants was more as a survival mechanism since it did not significantly follow by new growth and development. There were smaller new leaves developed but, at the same time, there also some older leaves fallen off. Since at time the bean plants was allowed to recover from stressful impact of the 20-day SWT exposure, the plants had shifted into reproductive stages; therefore, development of flowers and pods were severely halted.</w:t>
      </w:r>
    </w:p>
    <w:p w:rsidR="004F415E" w:rsidRPr="0071407A" w:rsidRDefault="004F415E" w:rsidP="004F415E">
      <w:pPr>
        <w:spacing w:before="120" w:after="120" w:line="360" w:lineRule="auto"/>
        <w:jc w:val="both"/>
        <w:rPr>
          <w:rFonts w:ascii="Arial" w:hAnsi="Arial" w:cs="Arial"/>
          <w:b/>
          <w:sz w:val="20"/>
          <w:szCs w:val="20"/>
        </w:rPr>
      </w:pPr>
      <w:r w:rsidRPr="0071407A">
        <w:rPr>
          <w:rFonts w:ascii="Arial" w:hAnsi="Arial" w:cs="Arial"/>
          <w:b/>
          <w:sz w:val="20"/>
          <w:szCs w:val="20"/>
        </w:rPr>
        <w:t>Effects of Timing of SWT Exposure and ALA Application</w:t>
      </w:r>
    </w:p>
    <w:p w:rsidR="004F415E" w:rsidRPr="00205A6B" w:rsidRDefault="004F415E" w:rsidP="004F415E">
      <w:pPr>
        <w:autoSpaceDE w:val="0"/>
        <w:autoSpaceDN w:val="0"/>
        <w:adjustRightInd w:val="0"/>
        <w:spacing w:before="120" w:after="120" w:line="360" w:lineRule="auto"/>
        <w:jc w:val="both"/>
        <w:rPr>
          <w:rFonts w:ascii="Arial" w:eastAsiaTheme="minorHAnsi" w:hAnsi="Arial" w:cs="Arial"/>
          <w:sz w:val="20"/>
          <w:szCs w:val="20"/>
        </w:rPr>
      </w:pPr>
      <w:r w:rsidRPr="00205A6B">
        <w:rPr>
          <w:rFonts w:ascii="Arial" w:eastAsiaTheme="minorHAnsi" w:hAnsi="Arial" w:cs="Arial"/>
          <w:sz w:val="20"/>
          <w:szCs w:val="20"/>
        </w:rPr>
        <w:t xml:space="preserve">Proline, an amino acid, plays an important role in plants. It protected the plants from various biotic and abiotic  stresses and also supported plants to recover from stress more rapidly (Hayat et al., 2012). In this study, proline content measured during SWT exposure (12 DoT and 18 DoT) were significantly higher in plant exposed to SWT than in control plant. However, proline content was significantly decreased in the SWT-exposed plants only after 4 days of recovery (Table 8).  </w:t>
      </w:r>
    </w:p>
    <w:p w:rsidR="004F415E" w:rsidRPr="00205A6B" w:rsidRDefault="004F415E" w:rsidP="004F415E">
      <w:pPr>
        <w:autoSpaceDE w:val="0"/>
        <w:autoSpaceDN w:val="0"/>
        <w:adjustRightInd w:val="0"/>
        <w:spacing w:before="120" w:after="120" w:line="360" w:lineRule="auto"/>
        <w:jc w:val="both"/>
        <w:rPr>
          <w:rFonts w:ascii="Arial" w:eastAsiaTheme="minorHAnsi" w:hAnsi="Arial" w:cs="Arial"/>
          <w:sz w:val="20"/>
          <w:szCs w:val="20"/>
        </w:rPr>
      </w:pPr>
      <w:r w:rsidRPr="00205A6B">
        <w:rPr>
          <w:rFonts w:ascii="Arial" w:eastAsiaTheme="minorHAnsi" w:hAnsi="Arial" w:cs="Arial"/>
          <w:sz w:val="20"/>
          <w:szCs w:val="20"/>
        </w:rPr>
        <w:t>Measurement  of proline content at 12 DoT disclosed that ALA  application at 14 DAP significantly increased and decreased  in plant exposed to SWT</w:t>
      </w:r>
      <w:r w:rsidRPr="00205A6B">
        <w:rPr>
          <w:rFonts w:ascii="Arial" w:eastAsiaTheme="minorHAnsi" w:hAnsi="Arial" w:cs="Arial"/>
          <w:sz w:val="20"/>
          <w:szCs w:val="20"/>
          <w:vertAlign w:val="subscript"/>
        </w:rPr>
        <w:t>-5</w:t>
      </w:r>
      <w:r w:rsidRPr="00205A6B">
        <w:rPr>
          <w:rFonts w:ascii="Arial" w:eastAsiaTheme="minorHAnsi" w:hAnsi="Arial" w:cs="Arial"/>
          <w:sz w:val="20"/>
          <w:szCs w:val="20"/>
        </w:rPr>
        <w:t xml:space="preserve"> and, respectively. These results indicated that ALA application at 14 DAP was only effective in reducing stress at SWT</w:t>
      </w:r>
      <w:r w:rsidRPr="00205A6B">
        <w:rPr>
          <w:rFonts w:ascii="Arial" w:eastAsiaTheme="minorHAnsi" w:hAnsi="Arial" w:cs="Arial"/>
          <w:sz w:val="20"/>
          <w:szCs w:val="20"/>
          <w:vertAlign w:val="subscript"/>
        </w:rPr>
        <w:t>-15</w:t>
      </w:r>
      <w:r w:rsidRPr="00205A6B">
        <w:rPr>
          <w:rFonts w:ascii="Arial" w:eastAsiaTheme="minorHAnsi" w:hAnsi="Arial" w:cs="Arial"/>
          <w:sz w:val="20"/>
          <w:szCs w:val="20"/>
        </w:rPr>
        <w:t xml:space="preserve"> but not at shallower water table at SWT</w:t>
      </w:r>
      <w:r w:rsidRPr="00205A6B">
        <w:rPr>
          <w:rFonts w:ascii="Arial" w:eastAsiaTheme="minorHAnsi" w:hAnsi="Arial" w:cs="Arial"/>
          <w:sz w:val="20"/>
          <w:szCs w:val="20"/>
          <w:vertAlign w:val="subscript"/>
        </w:rPr>
        <w:t>-5</w:t>
      </w:r>
      <w:r w:rsidRPr="00205A6B">
        <w:rPr>
          <w:rFonts w:ascii="Arial" w:eastAsiaTheme="minorHAnsi" w:hAnsi="Arial" w:cs="Arial"/>
          <w:sz w:val="20"/>
          <w:szCs w:val="20"/>
        </w:rPr>
        <w:t xml:space="preserve">.  Meanwhile, measurement at 12 DoT (2 days after of ALA application at 28 DAP), proline contents were significantly decreased in all SWT exposures. This finding leads to argument that effect of ALA in alleviating stress is only effective in short term. During recovery period, application of ALA at pre- and during SWT exposures did not contribute to stress alleviation in bean plants as indicated by proline content in ALA-treated plants was higher than non-treated plants. Therefore, bean plants recovery is presumably more related to increase of oxygen availability after termination of SWT exposure rather than as effect of ALA application (Table 8). Similarly, Yaish (2015) also reported that proline was not a major factor in the mechanism leading to stress tolerance.  </w:t>
      </w:r>
    </w:p>
    <w:p w:rsidR="004F415E" w:rsidRPr="00205A6B"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 xml:space="preserve">The correlation between proline accumulation and abiotic stress tolerance in plants was not always </w:t>
      </w:r>
      <w:r w:rsidRPr="00205A6B">
        <w:rPr>
          <w:rFonts w:ascii="Arial" w:eastAsiaTheme="minorHAnsi" w:hAnsi="Arial" w:cs="Arial"/>
          <w:sz w:val="20"/>
          <w:szCs w:val="20"/>
        </w:rPr>
        <w:t>apparent</w:t>
      </w:r>
      <w:r w:rsidRPr="00205A6B">
        <w:rPr>
          <w:rFonts w:ascii="Arial" w:hAnsi="Arial" w:cs="Arial"/>
          <w:sz w:val="20"/>
          <w:szCs w:val="20"/>
        </w:rPr>
        <w:t xml:space="preserve">.  Accumulation of proline in the leaves was believed to be a symptom of stress injury rather than a sign of stress tolerance in rice plants (An, Qi, &amp; Wang, 2016). Proline provided protection to plant from stress by cellular osmotic adjustment, detoxification of reactive oxygen species, protection of membrane integrity, and stabilization of proteins/enzymes (Hayat et al., 2012; Manafi, Modarressanavy, Aghaalikhani, &amp; Dolatabadian, 2015). </w:t>
      </w:r>
      <w:r w:rsidRPr="00205A6B">
        <w:rPr>
          <w:rFonts w:ascii="Arial" w:eastAsiaTheme="minorHAnsi" w:hAnsi="Arial" w:cs="Arial"/>
          <w:sz w:val="20"/>
          <w:szCs w:val="20"/>
        </w:rPr>
        <w:t>ALA enhanced antioxidant enzymes activities, such as superoxide dismutase, peroxidase, and catalase. The enhancing of antioxidant enzymes activities reduced the detrimental effect of reactive oxygen species (ROS) to plant cells (Manafi</w:t>
      </w:r>
      <w:r w:rsidRPr="00205A6B">
        <w:rPr>
          <w:rFonts w:ascii="Arial" w:hAnsi="Arial" w:cs="Arial"/>
          <w:sz w:val="20"/>
          <w:szCs w:val="20"/>
        </w:rPr>
        <w:t>, Modarressanavy, Aghaalikhani, &amp; Dolatabadian,</w:t>
      </w:r>
      <w:r w:rsidRPr="00205A6B">
        <w:rPr>
          <w:rFonts w:ascii="Arial" w:eastAsiaTheme="minorHAnsi" w:hAnsi="Arial" w:cs="Arial"/>
          <w:sz w:val="20"/>
          <w:szCs w:val="20"/>
        </w:rPr>
        <w:t xml:space="preserve"> 2015; An, Qi, &amp; Wang, 2016).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lastRenderedPageBreak/>
        <w:t xml:space="preserve">SWT exposure consistently and significantly reduced SPAD value compared to control plant. Meanwhile, applications of ALA at pre- (14 DAP), during (28 DAP), and end of (38 DAP) SWT exposures were effectively increased SPAD value subsequently measured (Table 9). SPAD value has been used for predicting leaf chlorophyll content. Strong correlation between SPAD value and leaf chlorophyll content has been reported by Zhu, Tremblay &amp; Liang (2012) and Jiang, Johkan, Hohjo, Tsukagoshi, &amp; Maruo (2017).  </w:t>
      </w:r>
    </w:p>
    <w:p w:rsidR="004F415E" w:rsidRPr="00205A6B" w:rsidRDefault="004F415E" w:rsidP="004F415E">
      <w:pPr>
        <w:spacing w:before="120" w:after="120" w:line="360" w:lineRule="auto"/>
        <w:jc w:val="both"/>
        <w:rPr>
          <w:rFonts w:ascii="Arial" w:hAnsi="Arial" w:cs="Arial"/>
          <w:sz w:val="20"/>
          <w:szCs w:val="20"/>
        </w:rPr>
      </w:pPr>
      <w:r w:rsidRPr="00205A6B">
        <w:rPr>
          <w:rFonts w:ascii="Arial" w:hAnsi="Arial" w:cs="Arial"/>
          <w:sz w:val="20"/>
          <w:szCs w:val="20"/>
        </w:rPr>
        <w:t>This finding indicated that exogenous applied ALA stimulated leaf chlorophyll synthesis under SWT condition. ALA is precursor of heme containing photosynthetic pigments. As a metabolic intermediate in higher plants, ALA directly associated with chlorophyll and carotenoids biosynthesis (Akram</w:t>
      </w:r>
      <w:r>
        <w:rPr>
          <w:rFonts w:ascii="Arial" w:hAnsi="Arial" w:cs="Arial"/>
          <w:sz w:val="20"/>
          <w:szCs w:val="20"/>
        </w:rPr>
        <w:t xml:space="preserve"> </w:t>
      </w:r>
      <w:r w:rsidRPr="00205A6B">
        <w:rPr>
          <w:rFonts w:ascii="Arial" w:hAnsi="Arial" w:cs="Arial"/>
          <w:sz w:val="20"/>
          <w:szCs w:val="20"/>
        </w:rPr>
        <w:t>&amp; Ashraf, 2013; Anjum et al. 2016; An, Qi, &amp; Wang, 2016). Furthermore, ALA contributed in increasing plant growth under abiotic stress (Wu, Liao, Dawuda, Hu, &amp; Yu, 2018).</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sidRPr="00205A6B">
        <w:rPr>
          <w:rFonts w:ascii="Arial" w:hAnsi="Arial" w:cs="Arial"/>
          <w:sz w:val="20"/>
          <w:szCs w:val="20"/>
        </w:rPr>
        <w:t>There was interaction between SWT exposure and time of ALA application on proline content measured at 12 DoT, 18 DoT and 4 DoR (Fig. 1). At the midterm of SWT exposure (12 DoT), the highest proline content was observed in bean plant exposed to -5 cm water table (SWT</w:t>
      </w:r>
      <w:r w:rsidRPr="00205A6B">
        <w:rPr>
          <w:rFonts w:ascii="Arial" w:hAnsi="Arial" w:cs="Arial"/>
          <w:sz w:val="20"/>
          <w:szCs w:val="20"/>
          <w:vertAlign w:val="subscript"/>
        </w:rPr>
        <w:t>-5</w:t>
      </w:r>
      <w:r w:rsidRPr="00205A6B">
        <w:rPr>
          <w:rFonts w:ascii="Arial" w:hAnsi="Arial" w:cs="Arial"/>
          <w:sz w:val="20"/>
          <w:szCs w:val="20"/>
        </w:rPr>
        <w:t>) and ALA applied at 14 DAP (Fig. 1A). In this first case, measurement of proline was undertaken at 16 days after ALA application at pre-SWT treatment. At the near end of SWT treatment (18 DoT), the highest proline content was found in bean plant exposed to -10 cm water table (SWT</w:t>
      </w:r>
      <w:r w:rsidRPr="00205A6B">
        <w:rPr>
          <w:rFonts w:ascii="Arial" w:hAnsi="Arial" w:cs="Arial"/>
          <w:sz w:val="20"/>
          <w:szCs w:val="20"/>
          <w:vertAlign w:val="subscript"/>
        </w:rPr>
        <w:t>-10</w:t>
      </w:r>
      <w:r w:rsidRPr="00205A6B">
        <w:rPr>
          <w:rFonts w:ascii="Arial" w:hAnsi="Arial" w:cs="Arial"/>
          <w:sz w:val="20"/>
          <w:szCs w:val="20"/>
        </w:rPr>
        <w:t>) and ALA applied at 28 DAP (Fig. 1B). In this second case, proline was measured at 8 days after ALA application. Meanwhile, at the recovery stage (4 DoR), the highest proline content was oberved in plant exposed to -15 cm water table (SWT</w:t>
      </w:r>
      <w:r w:rsidRPr="00205A6B">
        <w:rPr>
          <w:rFonts w:ascii="Arial" w:hAnsi="Arial" w:cs="Arial"/>
          <w:sz w:val="20"/>
          <w:szCs w:val="20"/>
          <w:vertAlign w:val="subscript"/>
        </w:rPr>
        <w:t>-15</w:t>
      </w:r>
      <w:r w:rsidRPr="00205A6B">
        <w:rPr>
          <w:rFonts w:ascii="Arial" w:hAnsi="Arial" w:cs="Arial"/>
          <w:sz w:val="20"/>
          <w:szCs w:val="20"/>
        </w:rPr>
        <w:t>) and ALA applied at 38 DAP (Fig. 1C). In this third case, proline measurement was done only 4 days after ALA application or at as early as 4 days after SWT exposure was terminated. It is clear from these three cases that bean plant is suffer more during SWT exposure at longer period of time after ALA application but, reversely, it suffered more at earlier stage of recovery period and getting better as time progresses.</w:t>
      </w:r>
    </w:p>
    <w:p w:rsidR="004F415E" w:rsidRDefault="004F415E" w:rsidP="004F415E">
      <w:pPr>
        <w:autoSpaceDE w:val="0"/>
        <w:autoSpaceDN w:val="0"/>
        <w:adjustRightInd w:val="0"/>
        <w:spacing w:before="120" w:after="120" w:line="360" w:lineRule="auto"/>
        <w:jc w:val="both"/>
        <w:rPr>
          <w:rFonts w:ascii="Arial" w:hAnsi="Arial" w:cs="Arial"/>
          <w:sz w:val="20"/>
          <w:szCs w:val="20"/>
        </w:rPr>
      </w:pPr>
    </w:p>
    <w:p w:rsidR="004F415E" w:rsidRPr="0093777B" w:rsidRDefault="004F415E" w:rsidP="004F415E">
      <w:pPr>
        <w:autoSpaceDE w:val="0"/>
        <w:autoSpaceDN w:val="0"/>
        <w:adjustRightInd w:val="0"/>
        <w:spacing w:line="360" w:lineRule="auto"/>
        <w:jc w:val="center"/>
        <w:rPr>
          <w:rFonts w:ascii="Arial" w:hAnsi="Arial" w:cs="Arial"/>
          <w:b/>
          <w:sz w:val="20"/>
          <w:szCs w:val="20"/>
        </w:rPr>
      </w:pPr>
      <w:r>
        <w:rPr>
          <w:rFonts w:ascii="Arial" w:hAnsi="Arial" w:cs="Arial"/>
          <w:b/>
          <w:sz w:val="20"/>
          <w:szCs w:val="20"/>
        </w:rPr>
        <w:t>CONCLUSIONS</w:t>
      </w:r>
    </w:p>
    <w:p w:rsidR="004F415E" w:rsidRDefault="004F415E" w:rsidP="004F415E">
      <w:pPr>
        <w:autoSpaceDE w:val="0"/>
        <w:autoSpaceDN w:val="0"/>
        <w:adjustRightInd w:val="0"/>
        <w:spacing w:before="120" w:after="120" w:line="360" w:lineRule="auto"/>
        <w:jc w:val="both"/>
        <w:rPr>
          <w:rFonts w:ascii="Arial" w:hAnsi="Arial" w:cs="Arial"/>
          <w:sz w:val="20"/>
          <w:szCs w:val="20"/>
        </w:rPr>
      </w:pPr>
      <w:r>
        <w:rPr>
          <w:rFonts w:ascii="Arial" w:hAnsi="Arial" w:cs="Arial"/>
          <w:sz w:val="20"/>
          <w:szCs w:val="20"/>
        </w:rPr>
        <w:t>SWT exposure affected growth of above ground organs and roots, leaf water status, proline content, and SPAD value</w:t>
      </w:r>
      <w:r w:rsidRPr="00936965">
        <w:rPr>
          <w:rFonts w:ascii="Arial" w:hAnsi="Arial" w:cs="Arial"/>
          <w:sz w:val="20"/>
          <w:szCs w:val="20"/>
        </w:rPr>
        <w:t xml:space="preserve"> </w:t>
      </w:r>
      <w:r>
        <w:rPr>
          <w:rFonts w:ascii="Arial" w:hAnsi="Arial" w:cs="Arial"/>
          <w:sz w:val="20"/>
          <w:szCs w:val="20"/>
        </w:rPr>
        <w:t>in bean plant. Severity of the effects depended on depth of water table with shallowest water table (</w:t>
      </w:r>
      <w:r w:rsidRPr="00205A6B">
        <w:rPr>
          <w:rFonts w:ascii="Arial" w:hAnsi="Arial" w:cs="Arial"/>
          <w:sz w:val="20"/>
          <w:szCs w:val="20"/>
        </w:rPr>
        <w:t>SWT</w:t>
      </w:r>
      <w:r w:rsidRPr="00205A6B">
        <w:rPr>
          <w:rFonts w:ascii="Arial" w:hAnsi="Arial" w:cs="Arial"/>
          <w:sz w:val="20"/>
          <w:szCs w:val="20"/>
          <w:vertAlign w:val="subscript"/>
        </w:rPr>
        <w:t>-5</w:t>
      </w:r>
      <w:r w:rsidRPr="00205A6B">
        <w:rPr>
          <w:rFonts w:ascii="Arial" w:hAnsi="Arial" w:cs="Arial"/>
          <w:sz w:val="20"/>
          <w:szCs w:val="20"/>
        </w:rPr>
        <w:t>)</w:t>
      </w:r>
      <w:r>
        <w:rPr>
          <w:rFonts w:ascii="Arial" w:hAnsi="Arial" w:cs="Arial"/>
          <w:sz w:val="20"/>
          <w:szCs w:val="20"/>
        </w:rPr>
        <w:t xml:space="preserve"> caused the most severe effect. Common bean used in this study exhibited ability to recover after SWT exposure was terminated. Effectiveness of ALA application on reducing negative effects of SWT exposure was varied, depending on depth of SWT exposure and timing of its application, with regards to duration of the plant has been exposed to SWT before ALA was applied. ALA application did not significantly improve recoverability of bean plants after SWT exposure was terminated. Instead, recoverability was more associated with improvement in soil aeration since there was no significant difference in growth between ALA-treated and non-treated plants during the recovery period. </w:t>
      </w:r>
    </w:p>
    <w:p w:rsidR="00A15B14" w:rsidRDefault="00A15B14">
      <w:pPr>
        <w:spacing w:after="160" w:line="259" w:lineRule="auto"/>
        <w:rPr>
          <w:rFonts w:ascii="Arial" w:hAnsi="Arial" w:cs="Arial"/>
          <w:b/>
          <w:sz w:val="20"/>
          <w:szCs w:val="20"/>
        </w:rPr>
      </w:pPr>
      <w:r>
        <w:rPr>
          <w:rFonts w:ascii="Arial" w:hAnsi="Arial" w:cs="Arial"/>
          <w:b/>
          <w:sz w:val="20"/>
          <w:szCs w:val="20"/>
        </w:rPr>
        <w:br w:type="page"/>
      </w:r>
    </w:p>
    <w:p w:rsidR="00A15B14" w:rsidRPr="00A15B14" w:rsidRDefault="00A15B14" w:rsidP="00A15B14">
      <w:pPr>
        <w:autoSpaceDE w:val="0"/>
        <w:autoSpaceDN w:val="0"/>
        <w:adjustRightInd w:val="0"/>
        <w:spacing w:line="360" w:lineRule="auto"/>
        <w:jc w:val="center"/>
        <w:rPr>
          <w:rFonts w:ascii="Arial" w:hAnsi="Arial" w:cs="Arial"/>
          <w:b/>
          <w:sz w:val="20"/>
          <w:szCs w:val="20"/>
          <w:lang w:val="en-US"/>
        </w:rPr>
      </w:pPr>
      <w:r>
        <w:rPr>
          <w:rFonts w:ascii="Arial" w:hAnsi="Arial" w:cs="Arial"/>
          <w:b/>
          <w:sz w:val="20"/>
          <w:szCs w:val="20"/>
          <w:lang w:val="en-US"/>
        </w:rPr>
        <w:lastRenderedPageBreak/>
        <w:t>ACKNOWLEDGEMENT</w:t>
      </w:r>
    </w:p>
    <w:p w:rsidR="00A15B14" w:rsidRDefault="00A15B14" w:rsidP="004F415E">
      <w:pPr>
        <w:autoSpaceDE w:val="0"/>
        <w:autoSpaceDN w:val="0"/>
        <w:adjustRightInd w:val="0"/>
        <w:spacing w:before="120" w:after="120" w:line="360" w:lineRule="auto"/>
        <w:jc w:val="both"/>
        <w:rPr>
          <w:rFonts w:ascii="Arial" w:hAnsi="Arial" w:cs="Arial"/>
          <w:sz w:val="20"/>
          <w:szCs w:val="20"/>
        </w:rPr>
      </w:pPr>
      <w:r w:rsidRPr="00F90FB6">
        <w:rPr>
          <w:rFonts w:ascii="Arial" w:eastAsia="Times New Roman" w:hAnsi="Arial" w:cs="Arial"/>
          <w:sz w:val="20"/>
          <w:szCs w:val="20"/>
        </w:rPr>
        <w:t xml:space="preserve">We would like to express our gratitude to unanimous reviewers for their comments and suggestions for increasing quality of this article. Superb supports by editor-in-chief and supporting personnel of this journal are deeply appreciated. This research was funded by LPDP Research Fund, grant No. </w:t>
      </w:r>
      <w:r w:rsidRPr="00F90FB6">
        <w:rPr>
          <w:rFonts w:ascii="Arial" w:hAnsi="Arial" w:cs="Arial"/>
          <w:color w:val="231F20"/>
          <w:sz w:val="20"/>
          <w:szCs w:val="20"/>
        </w:rPr>
        <w:t xml:space="preserve">PRJ-5913/LPDP.3/2016-2018 and supported by </w:t>
      </w:r>
      <w:r w:rsidRPr="00F90FB6">
        <w:rPr>
          <w:rFonts w:ascii="Arial" w:eastAsia="Times New Roman" w:hAnsi="Arial" w:cs="Arial"/>
          <w:sz w:val="20"/>
          <w:szCs w:val="20"/>
        </w:rPr>
        <w:t>Penelitian Unggulan Profesi Unviversitas Sriwijaya, grant No. 0014/UN9/SK.LP2M.PT/2019</w:t>
      </w:r>
    </w:p>
    <w:p w:rsidR="004F415E" w:rsidRPr="0093777B" w:rsidRDefault="004F415E" w:rsidP="004F415E">
      <w:pPr>
        <w:autoSpaceDE w:val="0"/>
        <w:autoSpaceDN w:val="0"/>
        <w:adjustRightInd w:val="0"/>
        <w:spacing w:line="360" w:lineRule="auto"/>
        <w:jc w:val="center"/>
        <w:rPr>
          <w:rFonts w:ascii="Arial" w:hAnsi="Arial" w:cs="Arial"/>
          <w:b/>
          <w:sz w:val="20"/>
          <w:szCs w:val="20"/>
        </w:rPr>
      </w:pPr>
      <w:r>
        <w:rPr>
          <w:rFonts w:ascii="Arial" w:hAnsi="Arial" w:cs="Arial"/>
          <w:b/>
          <w:sz w:val="20"/>
          <w:szCs w:val="20"/>
        </w:rPr>
        <w:t>REFERENCES</w:t>
      </w:r>
    </w:p>
    <w:p w:rsidR="004F415E" w:rsidRPr="000D3FE0" w:rsidRDefault="004F415E" w:rsidP="004F415E">
      <w:pPr>
        <w:spacing w:after="240" w:line="360" w:lineRule="auto"/>
        <w:ind w:left="851" w:hanging="851"/>
        <w:rPr>
          <w:rFonts w:ascii="Arial" w:hAnsi="Arial" w:cs="Arial"/>
          <w:color w:val="000000" w:themeColor="text1"/>
          <w:sz w:val="20"/>
          <w:szCs w:val="20"/>
        </w:rPr>
      </w:pPr>
      <w:r w:rsidRPr="000D3FE0">
        <w:rPr>
          <w:rFonts w:ascii="Arial" w:hAnsi="Arial" w:cs="Arial"/>
          <w:color w:val="000000" w:themeColor="text1"/>
          <w:sz w:val="20"/>
          <w:szCs w:val="20"/>
        </w:rPr>
        <w:t xml:space="preserve">Akram, N. A., &amp; Ashraf, M. (2013). Regulation in plant stress tolerance by a potential plant growth regulator, 5-aminolevulinic acid.   </w:t>
      </w:r>
      <w:r w:rsidRPr="000D3FE0">
        <w:rPr>
          <w:rFonts w:ascii="Arial" w:hAnsi="Arial" w:cs="Arial"/>
          <w:i/>
          <w:color w:val="000000" w:themeColor="text1"/>
          <w:sz w:val="20"/>
          <w:szCs w:val="20"/>
        </w:rPr>
        <w:t>Journal of Plant Growth Regulator</w:t>
      </w:r>
      <w:r w:rsidRPr="000D3FE0">
        <w:rPr>
          <w:rFonts w:ascii="Arial" w:hAnsi="Arial" w:cs="Arial"/>
          <w:color w:val="000000" w:themeColor="text1"/>
          <w:sz w:val="20"/>
          <w:szCs w:val="20"/>
        </w:rPr>
        <w:t>, 32</w:t>
      </w:r>
      <w:r w:rsidRPr="000D3FE0">
        <w:rPr>
          <w:rFonts w:ascii="Arial" w:hAnsi="Arial" w:cs="Arial"/>
          <w:b/>
          <w:color w:val="000000" w:themeColor="text1"/>
          <w:sz w:val="20"/>
          <w:szCs w:val="20"/>
        </w:rPr>
        <w:t>,</w:t>
      </w:r>
      <w:r w:rsidRPr="000D3FE0">
        <w:rPr>
          <w:rFonts w:ascii="Arial" w:hAnsi="Arial" w:cs="Arial"/>
          <w:color w:val="000000" w:themeColor="text1"/>
          <w:sz w:val="20"/>
          <w:szCs w:val="20"/>
        </w:rPr>
        <w:t xml:space="preserve"> 663–679. http://doi.org/</w:t>
      </w:r>
      <w:r w:rsidRPr="000D3FE0">
        <w:rPr>
          <w:rFonts w:ascii="Arial" w:hAnsi="Arial" w:cs="Arial"/>
          <w:color w:val="000000"/>
          <w:sz w:val="20"/>
          <w:szCs w:val="20"/>
        </w:rPr>
        <w:t>10.1007/s00344-013-9325-9</w:t>
      </w:r>
    </w:p>
    <w:p w:rsidR="004F415E" w:rsidRPr="000D3FE0" w:rsidRDefault="004F415E" w:rsidP="004F415E">
      <w:pPr>
        <w:autoSpaceDE w:val="0"/>
        <w:autoSpaceDN w:val="0"/>
        <w:adjustRightInd w:val="0"/>
        <w:spacing w:after="240" w:line="360" w:lineRule="auto"/>
        <w:ind w:left="851" w:hanging="851"/>
        <w:rPr>
          <w:rFonts w:ascii="Arial" w:hAnsi="Arial" w:cs="Arial"/>
          <w:color w:val="000000"/>
          <w:sz w:val="20"/>
          <w:szCs w:val="20"/>
        </w:rPr>
      </w:pPr>
      <w:r w:rsidRPr="000D3FE0">
        <w:rPr>
          <w:rFonts w:ascii="Arial" w:hAnsi="Arial" w:cs="Arial"/>
          <w:bCs/>
          <w:color w:val="000000"/>
          <w:sz w:val="20"/>
          <w:szCs w:val="20"/>
        </w:rPr>
        <w:t xml:space="preserve">Akram, N. A., Ashraf, M., &amp; Al-Qurainy, F.  (2012).  </w:t>
      </w:r>
      <w:r w:rsidRPr="000D3FE0">
        <w:rPr>
          <w:rFonts w:ascii="Arial" w:hAnsi="Arial" w:cs="Arial"/>
          <w:color w:val="231F20"/>
          <w:sz w:val="20"/>
          <w:szCs w:val="20"/>
        </w:rPr>
        <w:t>Aminolevulinic acid-induced changes in some key physiological attributes and activities of antioxidant enzymes in sunﬂower (</w:t>
      </w:r>
      <w:r w:rsidRPr="000D3FE0">
        <w:rPr>
          <w:rFonts w:ascii="Arial" w:hAnsi="Arial" w:cs="Arial"/>
          <w:i/>
          <w:color w:val="231F20"/>
          <w:sz w:val="20"/>
          <w:szCs w:val="20"/>
        </w:rPr>
        <w:t>Helianthus annuus</w:t>
      </w:r>
      <w:r w:rsidRPr="000D3FE0">
        <w:rPr>
          <w:rFonts w:ascii="Arial" w:hAnsi="Arial" w:cs="Arial"/>
          <w:color w:val="231F20"/>
          <w:sz w:val="20"/>
          <w:szCs w:val="20"/>
        </w:rPr>
        <w:t xml:space="preserve"> L.)  plants under saline regimes.  </w:t>
      </w:r>
      <w:r w:rsidRPr="000D3FE0">
        <w:rPr>
          <w:rFonts w:ascii="Arial" w:hAnsi="Arial" w:cs="Arial"/>
          <w:i/>
          <w:color w:val="000000"/>
          <w:sz w:val="20"/>
          <w:szCs w:val="20"/>
        </w:rPr>
        <w:t>Scientia Horticulturae</w:t>
      </w:r>
      <w:r w:rsidRPr="000D3FE0">
        <w:rPr>
          <w:rFonts w:ascii="Arial" w:hAnsi="Arial" w:cs="Arial"/>
          <w:color w:val="000000"/>
          <w:sz w:val="20"/>
          <w:szCs w:val="20"/>
        </w:rPr>
        <w:t>, 142, 143-148. http://dx.doi.org/10.1016/j.scienta.2012.05.007</w:t>
      </w:r>
    </w:p>
    <w:p w:rsidR="004F415E" w:rsidRPr="000D3FE0" w:rsidRDefault="004F415E" w:rsidP="004F415E">
      <w:pPr>
        <w:pStyle w:val="Heading2"/>
        <w:spacing w:before="0" w:beforeAutospacing="0" w:after="240" w:afterAutospacing="0" w:line="360" w:lineRule="auto"/>
        <w:ind w:left="851" w:hanging="851"/>
        <w:rPr>
          <w:rFonts w:ascii="Arial" w:hAnsi="Arial" w:cs="Arial"/>
          <w:b w:val="0"/>
          <w:sz w:val="20"/>
          <w:szCs w:val="20"/>
        </w:rPr>
      </w:pPr>
      <w:r w:rsidRPr="000D3FE0">
        <w:rPr>
          <w:rFonts w:ascii="Arial" w:hAnsi="Arial" w:cs="Arial"/>
          <w:b w:val="0"/>
          <w:bCs w:val="0"/>
          <w:sz w:val="20"/>
          <w:szCs w:val="20"/>
        </w:rPr>
        <w:t>Aldana, F., García, P. N., &amp; Fischer, G.  (2014).  Effect of waterlogging stress on the growth, development and symptomatology of cape gooseberry (</w:t>
      </w:r>
      <w:r w:rsidRPr="000D3FE0">
        <w:rPr>
          <w:rFonts w:ascii="Arial" w:hAnsi="Arial" w:cs="Arial"/>
          <w:b w:val="0"/>
          <w:bCs w:val="0"/>
          <w:i/>
          <w:iCs/>
          <w:sz w:val="20"/>
          <w:szCs w:val="20"/>
        </w:rPr>
        <w:t>Physalis peruviana</w:t>
      </w:r>
      <w:r w:rsidRPr="000D3FE0">
        <w:rPr>
          <w:rFonts w:ascii="Arial" w:hAnsi="Arial" w:cs="Arial"/>
          <w:b w:val="0"/>
          <w:bCs w:val="0"/>
          <w:sz w:val="20"/>
          <w:szCs w:val="20"/>
        </w:rPr>
        <w:t xml:space="preserve"> L.) plants.  </w:t>
      </w:r>
      <w:r w:rsidRPr="000D3FE0">
        <w:rPr>
          <w:rFonts w:ascii="Arial" w:hAnsi="Arial" w:cs="Arial"/>
          <w:b w:val="0"/>
          <w:i/>
          <w:sz w:val="20"/>
          <w:szCs w:val="20"/>
        </w:rPr>
        <w:t>Revista de la Academia Colombiana de Ciencias Exactas, Físicas y Naturales</w:t>
      </w:r>
      <w:r w:rsidRPr="000D3FE0">
        <w:rPr>
          <w:rFonts w:ascii="Arial" w:hAnsi="Arial" w:cs="Arial"/>
          <w:b w:val="0"/>
          <w:sz w:val="20"/>
          <w:szCs w:val="20"/>
        </w:rPr>
        <w:t>, 38(149), 393-400.</w:t>
      </w:r>
      <w:r w:rsidRPr="000D3FE0">
        <w:rPr>
          <w:rFonts w:ascii="Arial" w:hAnsi="Arial" w:cs="Arial"/>
          <w:b w:val="0"/>
          <w:color w:val="000080"/>
          <w:sz w:val="20"/>
          <w:szCs w:val="20"/>
        </w:rPr>
        <w:t xml:space="preserve">  </w:t>
      </w:r>
      <w:r w:rsidRPr="000D3FE0">
        <w:rPr>
          <w:rFonts w:ascii="Arial" w:hAnsi="Arial" w:cs="Arial"/>
          <w:b w:val="0"/>
          <w:color w:val="000000" w:themeColor="text1"/>
          <w:sz w:val="20"/>
          <w:szCs w:val="20"/>
        </w:rPr>
        <w:t>Retrieved from</w:t>
      </w:r>
      <w:r w:rsidRPr="000D3FE0">
        <w:rPr>
          <w:rFonts w:ascii="Arial" w:hAnsi="Arial" w:cs="Arial"/>
          <w:b w:val="0"/>
          <w:color w:val="000080"/>
          <w:sz w:val="20"/>
          <w:szCs w:val="20"/>
        </w:rPr>
        <w:t xml:space="preserve"> </w:t>
      </w:r>
      <w:r w:rsidRPr="000D3FE0">
        <w:rPr>
          <w:rFonts w:ascii="Arial" w:hAnsi="Arial" w:cs="Arial"/>
          <w:b w:val="0"/>
          <w:sz w:val="20"/>
          <w:szCs w:val="20"/>
        </w:rPr>
        <w:t>http://www.scielo.org.co/pdf/racefn/v38n149/v38n149a05.pdf</w:t>
      </w:r>
    </w:p>
    <w:p w:rsidR="004F415E" w:rsidRPr="00107BBA" w:rsidRDefault="004F415E" w:rsidP="004F415E">
      <w:pPr>
        <w:spacing w:after="240" w:line="360" w:lineRule="auto"/>
        <w:ind w:left="851" w:hanging="851"/>
        <w:rPr>
          <w:rFonts w:ascii="Arial" w:hAnsi="Arial" w:cs="Arial"/>
          <w:sz w:val="20"/>
          <w:szCs w:val="20"/>
        </w:rPr>
      </w:pPr>
      <w:r w:rsidRPr="00107BBA">
        <w:rPr>
          <w:rFonts w:ascii="Arial" w:hAnsi="Arial" w:cs="Arial"/>
          <w:sz w:val="20"/>
          <w:szCs w:val="20"/>
        </w:rPr>
        <w:t xml:space="preserve">An, Y., Qi, L., &amp; Wang, L.  (2016).  ALA pretreatment improves waterlogging tolerance of fig plants. </w:t>
      </w:r>
      <w:r w:rsidRPr="00107BBA">
        <w:rPr>
          <w:rFonts w:ascii="Arial" w:hAnsi="Arial" w:cs="Arial"/>
          <w:i/>
          <w:sz w:val="20"/>
          <w:szCs w:val="20"/>
        </w:rPr>
        <w:t>PLoS ONE</w:t>
      </w:r>
      <w:r w:rsidRPr="00107BBA">
        <w:rPr>
          <w:rFonts w:ascii="Arial" w:hAnsi="Arial" w:cs="Arial"/>
          <w:sz w:val="20"/>
          <w:szCs w:val="20"/>
        </w:rPr>
        <w:t>, 11(1), e0147202.  http://doi.org/10.1371/journal.pone.0147202</w:t>
      </w:r>
    </w:p>
    <w:p w:rsidR="004F415E" w:rsidRPr="000D3FE0" w:rsidRDefault="004F415E" w:rsidP="004F415E">
      <w:pPr>
        <w:spacing w:after="240" w:line="360" w:lineRule="auto"/>
        <w:ind w:left="851" w:hanging="851"/>
        <w:rPr>
          <w:rFonts w:ascii="Arial" w:eastAsiaTheme="minorHAnsi" w:hAnsi="Arial" w:cs="Arial"/>
          <w:color w:val="231F20"/>
          <w:sz w:val="20"/>
          <w:szCs w:val="20"/>
        </w:rPr>
      </w:pPr>
      <w:r w:rsidRPr="000D3FE0">
        <w:rPr>
          <w:rFonts w:ascii="Arial" w:hAnsi="Arial" w:cs="Arial"/>
          <w:sz w:val="20"/>
          <w:szCs w:val="20"/>
        </w:rPr>
        <w:t xml:space="preserve">Anjum, S. A., Li, J., Lv, J., Zong, X., Wang, L., Yang, A., Yan, R., Ali, Z., Song, J., &amp; Wang, S.  (2016). Regulation mechanism of exogenous ALA on growth and physiology of </w:t>
      </w:r>
      <w:r w:rsidRPr="000D3FE0">
        <w:rPr>
          <w:rFonts w:ascii="Arial" w:hAnsi="Arial" w:cs="Arial"/>
          <w:i/>
          <w:sz w:val="20"/>
          <w:szCs w:val="20"/>
        </w:rPr>
        <w:t>Leymus chinensis</w:t>
      </w:r>
      <w:r w:rsidRPr="000D3FE0">
        <w:rPr>
          <w:rFonts w:ascii="Arial" w:hAnsi="Arial" w:cs="Arial"/>
          <w:sz w:val="20"/>
          <w:szCs w:val="20"/>
        </w:rPr>
        <w:t xml:space="preserve"> (Trin.) under salt stress.  </w:t>
      </w:r>
      <w:r w:rsidRPr="000D3FE0">
        <w:rPr>
          <w:rFonts w:ascii="Arial" w:hAnsi="Arial" w:cs="Arial"/>
          <w:i/>
          <w:sz w:val="20"/>
          <w:szCs w:val="20"/>
        </w:rPr>
        <w:t>Chilean Journal of Agricultural Research</w:t>
      </w:r>
      <w:r w:rsidRPr="000D3FE0">
        <w:rPr>
          <w:rFonts w:ascii="Arial" w:hAnsi="Arial" w:cs="Arial"/>
          <w:sz w:val="20"/>
          <w:szCs w:val="20"/>
        </w:rPr>
        <w:t>, 70(3), 314-320.  http://doi.org/</w:t>
      </w:r>
      <w:r w:rsidRPr="000D3FE0">
        <w:rPr>
          <w:rFonts w:ascii="Arial" w:eastAsiaTheme="minorHAnsi" w:hAnsi="Arial" w:cs="Arial"/>
          <w:color w:val="231F20"/>
          <w:sz w:val="20"/>
          <w:szCs w:val="20"/>
        </w:rPr>
        <w:t xml:space="preserve">10.4067/S0718-58392016000300008 </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color w:val="000000"/>
          <w:sz w:val="20"/>
          <w:szCs w:val="20"/>
        </w:rPr>
        <w:t xml:space="preserve">António, C., Päpke, C., Rocha, M., Diab, H., Limami, A.M., Obata, T., Fernie, A.R., &amp; van Dongen, J.T.  (2016). </w:t>
      </w:r>
      <w:r w:rsidRPr="000D3FE0">
        <w:rPr>
          <w:rFonts w:ascii="Arial" w:hAnsi="Arial" w:cs="Arial"/>
          <w:sz w:val="20"/>
          <w:szCs w:val="20"/>
        </w:rPr>
        <w:t xml:space="preserve">Regulation of primary metabolism in response to low oxygen availability as revealed by carbon and nitrogen isotope redistribution. </w:t>
      </w:r>
      <w:r w:rsidRPr="000D3FE0">
        <w:rPr>
          <w:rStyle w:val="cit"/>
          <w:rFonts w:ascii="Arial" w:hAnsi="Arial" w:cs="Arial"/>
          <w:sz w:val="20"/>
          <w:szCs w:val="20"/>
        </w:rPr>
        <w:t xml:space="preserve"> </w:t>
      </w:r>
      <w:r w:rsidRPr="00243B03">
        <w:rPr>
          <w:rFonts w:ascii="Arial" w:hAnsi="Arial" w:cs="Arial"/>
          <w:i/>
          <w:sz w:val="20"/>
          <w:szCs w:val="20"/>
        </w:rPr>
        <w:t>Plant Physiol</w:t>
      </w:r>
      <w:r w:rsidRPr="000D3FE0">
        <w:rPr>
          <w:rFonts w:ascii="Arial" w:hAnsi="Arial" w:cs="Arial"/>
          <w:i/>
          <w:sz w:val="20"/>
          <w:szCs w:val="20"/>
        </w:rPr>
        <w:t>ogy</w:t>
      </w:r>
      <w:r w:rsidRPr="000D3FE0">
        <w:rPr>
          <w:rFonts w:ascii="Arial" w:hAnsi="Arial" w:cs="Arial"/>
          <w:sz w:val="20"/>
          <w:szCs w:val="20"/>
        </w:rPr>
        <w:t>,</w:t>
      </w:r>
      <w:r w:rsidRPr="000D3FE0">
        <w:rPr>
          <w:rStyle w:val="cit"/>
          <w:rFonts w:ascii="Arial" w:hAnsi="Arial" w:cs="Arial"/>
          <w:sz w:val="20"/>
          <w:szCs w:val="20"/>
        </w:rPr>
        <w:t xml:space="preserve"> 170(1), 43–56. https://doi.org/</w:t>
      </w:r>
      <w:r w:rsidRPr="000D3FE0">
        <w:rPr>
          <w:rFonts w:ascii="Arial" w:hAnsi="Arial" w:cs="Arial"/>
          <w:color w:val="000000"/>
          <w:sz w:val="20"/>
          <w:szCs w:val="20"/>
        </w:rPr>
        <w:t>10.1104/pp.15.00266</w:t>
      </w:r>
      <w:r w:rsidRPr="000D3FE0">
        <w:rPr>
          <w:rFonts w:ascii="Arial" w:hAnsi="Arial" w:cs="Arial"/>
          <w:sz w:val="20"/>
          <w:szCs w:val="20"/>
        </w:rPr>
        <w:t xml:space="preserve"> </w:t>
      </w:r>
    </w:p>
    <w:p w:rsidR="004F415E" w:rsidRPr="000D3FE0" w:rsidRDefault="004F415E" w:rsidP="004F415E">
      <w:pPr>
        <w:spacing w:after="240" w:line="360" w:lineRule="auto"/>
        <w:ind w:left="851" w:hanging="851"/>
        <w:rPr>
          <w:rFonts w:ascii="Arial" w:hAnsi="Arial" w:cs="Arial"/>
          <w:b/>
          <w:bCs/>
          <w:color w:val="000000"/>
          <w:sz w:val="20"/>
          <w:szCs w:val="20"/>
        </w:rPr>
      </w:pPr>
      <w:r w:rsidRPr="000D3FE0">
        <w:rPr>
          <w:rFonts w:ascii="Arial" w:hAnsi="Arial" w:cs="Arial"/>
          <w:sz w:val="20"/>
          <w:szCs w:val="20"/>
        </w:rPr>
        <w:t xml:space="preserve">Anwar, A., Yan, Y., Liu, Y., Li, Y., &amp; Yu, X.  (2018). </w:t>
      </w:r>
      <w:r w:rsidRPr="000D3FE0">
        <w:rPr>
          <w:rFonts w:ascii="Arial" w:hAnsi="Arial" w:cs="Arial"/>
          <w:bCs/>
          <w:color w:val="000000"/>
          <w:sz w:val="20"/>
          <w:szCs w:val="20"/>
        </w:rPr>
        <w:t xml:space="preserve">5-Aminolevulinic acid improves nutrient uptake and endogenous hormone accumulation, enhancing low-temperature stress tolerance in cucumbers.  </w:t>
      </w:r>
      <w:r w:rsidRPr="000D3FE0">
        <w:rPr>
          <w:rFonts w:ascii="Arial" w:hAnsi="Arial" w:cs="Arial"/>
          <w:bCs/>
          <w:i/>
          <w:color w:val="000000"/>
          <w:sz w:val="20"/>
          <w:szCs w:val="20"/>
        </w:rPr>
        <w:t>International Journal of Molecular Science</w:t>
      </w:r>
      <w:r w:rsidRPr="000D3FE0">
        <w:rPr>
          <w:rFonts w:ascii="Arial" w:hAnsi="Arial" w:cs="Arial"/>
          <w:bCs/>
          <w:color w:val="000000"/>
          <w:sz w:val="20"/>
          <w:szCs w:val="20"/>
        </w:rPr>
        <w:t>, 19, 3379.  http://doi.org/10.3390/ijms 19113379</w:t>
      </w:r>
    </w:p>
    <w:p w:rsidR="004F415E" w:rsidRDefault="004F415E" w:rsidP="004F415E">
      <w:pPr>
        <w:autoSpaceDE w:val="0"/>
        <w:autoSpaceDN w:val="0"/>
        <w:adjustRightInd w:val="0"/>
        <w:spacing w:after="240" w:line="360" w:lineRule="auto"/>
        <w:ind w:left="851" w:hanging="851"/>
        <w:jc w:val="both"/>
        <w:rPr>
          <w:rFonts w:ascii="Arial" w:hAnsi="Arial" w:cs="Arial"/>
          <w:color w:val="141314"/>
          <w:sz w:val="20"/>
          <w:szCs w:val="20"/>
        </w:rPr>
      </w:pPr>
      <w:r w:rsidRPr="000D3FE0">
        <w:rPr>
          <w:rFonts w:ascii="Arial" w:hAnsi="Arial" w:cs="Arial"/>
          <w:bCs/>
          <w:color w:val="141314"/>
          <w:sz w:val="20"/>
          <w:szCs w:val="20"/>
        </w:rPr>
        <w:lastRenderedPageBreak/>
        <w:t>Aydogan, C., &amp; Turhan, E.  (2015). Changes in morphological and physiological traits and stress-related enzyme activities of green bean (</w:t>
      </w:r>
      <w:r w:rsidRPr="000D3FE0">
        <w:rPr>
          <w:rFonts w:ascii="Arial" w:hAnsi="Arial" w:cs="Arial"/>
          <w:bCs/>
          <w:i/>
          <w:iCs/>
          <w:color w:val="141314"/>
          <w:sz w:val="20"/>
          <w:szCs w:val="20"/>
        </w:rPr>
        <w:t xml:space="preserve">Phaseolus vulgaris </w:t>
      </w:r>
      <w:r w:rsidRPr="000D3FE0">
        <w:rPr>
          <w:rFonts w:ascii="Arial" w:hAnsi="Arial" w:cs="Arial"/>
          <w:bCs/>
          <w:color w:val="141314"/>
          <w:sz w:val="20"/>
          <w:szCs w:val="20"/>
        </w:rPr>
        <w:t xml:space="preserve">L.) genotypes in response to waterlogging stress and recovery treatment. </w:t>
      </w:r>
      <w:r w:rsidRPr="000D3FE0">
        <w:rPr>
          <w:rFonts w:ascii="Arial" w:hAnsi="Arial" w:cs="Arial"/>
          <w:i/>
          <w:color w:val="141314"/>
          <w:sz w:val="20"/>
          <w:szCs w:val="20"/>
        </w:rPr>
        <w:t>Horticulture Environmental and Biotechnology</w:t>
      </w:r>
      <w:r w:rsidRPr="000D3FE0">
        <w:rPr>
          <w:rFonts w:ascii="Arial" w:hAnsi="Arial" w:cs="Arial"/>
          <w:color w:val="141314"/>
          <w:sz w:val="20"/>
          <w:szCs w:val="20"/>
        </w:rPr>
        <w:t xml:space="preserve">, 56(3), 391-401.   </w:t>
      </w:r>
      <w:r w:rsidRPr="00F111DD">
        <w:rPr>
          <w:rFonts w:ascii="Arial" w:hAnsi="Arial" w:cs="Arial"/>
          <w:sz w:val="20"/>
          <w:szCs w:val="20"/>
        </w:rPr>
        <w:t>https://doi.org/10.1007/s13580-015-0127-9</w:t>
      </w:r>
      <w:r w:rsidRPr="000D3FE0">
        <w:rPr>
          <w:rFonts w:ascii="Arial" w:hAnsi="Arial" w:cs="Arial"/>
          <w:color w:val="141314"/>
          <w:sz w:val="20"/>
          <w:szCs w:val="20"/>
        </w:rPr>
        <w:t>.</w:t>
      </w:r>
    </w:p>
    <w:p w:rsidR="004F415E" w:rsidRPr="0049607E" w:rsidRDefault="004F415E" w:rsidP="004F415E">
      <w:pPr>
        <w:autoSpaceDE w:val="0"/>
        <w:autoSpaceDN w:val="0"/>
        <w:adjustRightInd w:val="0"/>
        <w:spacing w:after="240" w:line="360" w:lineRule="auto"/>
        <w:ind w:left="851" w:hanging="851"/>
        <w:jc w:val="both"/>
        <w:rPr>
          <w:rFonts w:ascii="Arial" w:hAnsi="Arial" w:cs="Arial"/>
          <w:color w:val="141314"/>
          <w:sz w:val="20"/>
          <w:szCs w:val="20"/>
        </w:rPr>
      </w:pPr>
      <w:r w:rsidRPr="0049607E">
        <w:rPr>
          <w:rFonts w:ascii="Arial" w:hAnsi="Arial" w:cs="Arial"/>
          <w:sz w:val="20"/>
          <w:szCs w:val="20"/>
          <w:highlight w:val="yellow"/>
        </w:rPr>
        <w:t xml:space="preserve">Bakri, Imanudin, M.S., &amp; Bernas, S.M. 2015. Water retention option of drainage system for dry season corn cultivation at tidal lowland area. </w:t>
      </w:r>
      <w:r w:rsidRPr="0049607E">
        <w:rPr>
          <w:rFonts w:ascii="Arial" w:hAnsi="Arial" w:cs="Arial"/>
          <w:bCs/>
          <w:i/>
          <w:color w:val="000000"/>
          <w:sz w:val="20"/>
          <w:szCs w:val="20"/>
          <w:highlight w:val="yellow"/>
        </w:rPr>
        <w:t>AGRIVITA Journal of Agricultural Science</w:t>
      </w:r>
      <w:r w:rsidRPr="0049607E">
        <w:rPr>
          <w:rFonts w:ascii="Arial" w:hAnsi="Arial" w:cs="Arial"/>
          <w:bCs/>
          <w:color w:val="000000"/>
          <w:sz w:val="20"/>
          <w:szCs w:val="20"/>
          <w:highlight w:val="yellow"/>
        </w:rPr>
        <w:t xml:space="preserve">, 37(3), 237-246. </w:t>
      </w:r>
      <w:r w:rsidRPr="0049607E">
        <w:rPr>
          <w:rFonts w:ascii="Arial" w:hAnsi="Arial" w:cs="Arial"/>
          <w:sz w:val="20"/>
          <w:szCs w:val="20"/>
          <w:highlight w:val="yellow"/>
        </w:rPr>
        <w:t>http://dx.doi.org/10.17503/Agrivita-2015-37-3-p237-246</w:t>
      </w:r>
    </w:p>
    <w:p w:rsidR="004F415E" w:rsidRPr="00DD5982" w:rsidRDefault="004F415E" w:rsidP="004F415E">
      <w:pPr>
        <w:spacing w:after="240" w:line="360" w:lineRule="auto"/>
        <w:ind w:left="851" w:hanging="851"/>
        <w:rPr>
          <w:rFonts w:ascii="Arial" w:hAnsi="Arial" w:cs="Arial"/>
          <w:sz w:val="20"/>
          <w:szCs w:val="20"/>
        </w:rPr>
      </w:pPr>
      <w:r w:rsidRPr="0039153D">
        <w:rPr>
          <w:rFonts w:ascii="Arial" w:hAnsi="Arial" w:cs="Arial"/>
          <w:sz w:val="20"/>
          <w:szCs w:val="20"/>
          <w:highlight w:val="yellow"/>
        </w:rPr>
        <w:t>Barunawati, N., Maghfoer, M. D., Kendarini, N. &amp; Aini, N. (2016). Proline and specific root lenght as response to drought of wheat lines (</w:t>
      </w:r>
      <w:r w:rsidRPr="0039153D">
        <w:rPr>
          <w:rFonts w:ascii="Arial" w:hAnsi="Arial" w:cs="Arial"/>
          <w:i/>
          <w:sz w:val="20"/>
          <w:szCs w:val="20"/>
          <w:highlight w:val="yellow"/>
        </w:rPr>
        <w:t>Triticum aestivum</w:t>
      </w:r>
      <w:r w:rsidRPr="0039153D">
        <w:rPr>
          <w:rFonts w:ascii="Arial" w:hAnsi="Arial" w:cs="Arial"/>
          <w:sz w:val="20"/>
          <w:szCs w:val="20"/>
          <w:highlight w:val="yellow"/>
        </w:rPr>
        <w:t xml:space="preserve"> L.). </w:t>
      </w:r>
      <w:r w:rsidRPr="0039153D">
        <w:rPr>
          <w:rFonts w:ascii="Arial" w:hAnsi="Arial" w:cs="Arial"/>
          <w:i/>
          <w:sz w:val="20"/>
          <w:szCs w:val="20"/>
          <w:highlight w:val="yellow"/>
        </w:rPr>
        <w:t>AGRIVITA Journal of Agricultural Science</w:t>
      </w:r>
      <w:r w:rsidRPr="0039153D">
        <w:rPr>
          <w:rFonts w:ascii="Arial" w:hAnsi="Arial" w:cs="Arial"/>
          <w:sz w:val="20"/>
          <w:szCs w:val="20"/>
          <w:highlight w:val="yellow"/>
        </w:rPr>
        <w:t xml:space="preserve">, 38(3), 296-302. </w:t>
      </w:r>
      <w:r w:rsidRPr="0039153D">
        <w:rPr>
          <w:rStyle w:val="Hyperlink"/>
          <w:rFonts w:ascii="Arial" w:hAnsi="Arial" w:cs="Arial"/>
          <w:color w:val="auto"/>
          <w:sz w:val="20"/>
          <w:szCs w:val="20"/>
          <w:highlight w:val="yellow"/>
          <w:u w:val="none"/>
        </w:rPr>
        <w:t>http://doi.org/10.17503/agrivita.v38i3.972</w:t>
      </w:r>
    </w:p>
    <w:p w:rsidR="004F415E" w:rsidRPr="000D3FE0" w:rsidRDefault="004F415E" w:rsidP="004F415E">
      <w:pPr>
        <w:tabs>
          <w:tab w:val="left" w:pos="3240"/>
        </w:tabs>
        <w:autoSpaceDE w:val="0"/>
        <w:autoSpaceDN w:val="0"/>
        <w:adjustRightInd w:val="0"/>
        <w:spacing w:after="240" w:line="360" w:lineRule="auto"/>
        <w:ind w:left="851" w:hanging="851"/>
        <w:rPr>
          <w:rFonts w:ascii="Arial" w:hAnsi="Arial" w:cs="Arial"/>
          <w:color w:val="000000"/>
          <w:sz w:val="20"/>
          <w:szCs w:val="20"/>
        </w:rPr>
      </w:pPr>
      <w:r w:rsidRPr="000D3FE0">
        <w:rPr>
          <w:rFonts w:ascii="Arial" w:hAnsi="Arial" w:cs="Arial"/>
          <w:bCs/>
          <w:color w:val="000000"/>
          <w:sz w:val="20"/>
          <w:szCs w:val="20"/>
        </w:rPr>
        <w:t xml:space="preserve">Biswas, J.C., &amp; Kalra, N.  (2018).    Effect of waterlogging and submergence on crop physiology and growth of different crops and its remedies: Bangladesh Perspectives.  </w:t>
      </w:r>
      <w:r w:rsidRPr="000D3FE0">
        <w:rPr>
          <w:rFonts w:ascii="Arial" w:hAnsi="Arial" w:cs="Arial"/>
          <w:bCs/>
          <w:i/>
          <w:color w:val="000000"/>
          <w:sz w:val="20"/>
          <w:szCs w:val="20"/>
        </w:rPr>
        <w:t>Saudi Journal of Engineering and Technology</w:t>
      </w:r>
      <w:r w:rsidRPr="000D3FE0">
        <w:rPr>
          <w:rFonts w:ascii="Arial" w:hAnsi="Arial" w:cs="Arial"/>
          <w:bCs/>
          <w:color w:val="000000"/>
          <w:sz w:val="20"/>
          <w:szCs w:val="20"/>
        </w:rPr>
        <w:t>, 3(6), 315-329.   https://doi.org/</w:t>
      </w:r>
      <w:r w:rsidRPr="000D3FE0">
        <w:rPr>
          <w:rFonts w:ascii="Arial" w:hAnsi="Arial" w:cs="Arial"/>
          <w:color w:val="000000"/>
          <w:sz w:val="20"/>
          <w:szCs w:val="20"/>
        </w:rPr>
        <w:t>10.21276/sjeat.2018.3.6.1</w:t>
      </w:r>
    </w:p>
    <w:p w:rsidR="004F415E" w:rsidRPr="000D3FE0" w:rsidRDefault="004F415E" w:rsidP="004F415E">
      <w:pPr>
        <w:pStyle w:val="Heading1"/>
        <w:spacing w:before="0" w:after="240" w:line="360" w:lineRule="auto"/>
        <w:ind w:left="851" w:hanging="851"/>
        <w:rPr>
          <w:rStyle w:val="doi"/>
          <w:rFonts w:ascii="Arial" w:hAnsi="Arial" w:cs="Arial"/>
          <w:b w:val="0"/>
          <w:color w:val="auto"/>
          <w:sz w:val="20"/>
          <w:szCs w:val="20"/>
        </w:rPr>
      </w:pPr>
      <w:r w:rsidRPr="000D3FE0">
        <w:rPr>
          <w:rFonts w:ascii="Arial" w:hAnsi="Arial" w:cs="Arial"/>
          <w:b w:val="0"/>
          <w:color w:val="auto"/>
          <w:sz w:val="20"/>
          <w:szCs w:val="20"/>
        </w:rPr>
        <w:t xml:space="preserve">Clauw, P., Coppens, F., De Beuf, K., Dhondt, S., Van Daele, T, Maleux, K., Storme, V., Clement, L., Gonzalez, N., &amp; </w:t>
      </w:r>
      <w:r w:rsidRPr="000D0ED3">
        <w:rPr>
          <w:rFonts w:ascii="Arial" w:hAnsi="Arial" w:cs="Arial"/>
          <w:b w:val="0"/>
          <w:color w:val="auto"/>
          <w:sz w:val="20"/>
          <w:szCs w:val="20"/>
        </w:rPr>
        <w:t>Inzé</w:t>
      </w:r>
      <w:r w:rsidRPr="000D3FE0">
        <w:rPr>
          <w:rFonts w:ascii="Arial" w:hAnsi="Arial" w:cs="Arial"/>
          <w:b w:val="0"/>
          <w:color w:val="auto"/>
          <w:sz w:val="20"/>
          <w:szCs w:val="20"/>
        </w:rPr>
        <w:t xml:space="preserve">, D.   (2015). Leaf responses to mild drought stress in natural variants of </w:t>
      </w:r>
      <w:r w:rsidRPr="000D3FE0">
        <w:rPr>
          <w:rFonts w:ascii="Arial" w:hAnsi="Arial" w:cs="Arial"/>
          <w:b w:val="0"/>
          <w:i/>
          <w:color w:val="auto"/>
          <w:sz w:val="20"/>
          <w:szCs w:val="20"/>
        </w:rPr>
        <w:t>Arabidopsis thaliana</w:t>
      </w:r>
      <w:r w:rsidRPr="000D3FE0">
        <w:rPr>
          <w:rFonts w:ascii="Arial" w:hAnsi="Arial" w:cs="Arial"/>
          <w:b w:val="0"/>
          <w:color w:val="auto"/>
          <w:sz w:val="20"/>
          <w:szCs w:val="20"/>
        </w:rPr>
        <w:t xml:space="preserve">.  </w:t>
      </w:r>
      <w:r w:rsidRPr="000D3FE0">
        <w:rPr>
          <w:rFonts w:ascii="Arial" w:hAnsi="Arial" w:cs="Arial"/>
          <w:b w:val="0"/>
          <w:i/>
          <w:color w:val="auto"/>
          <w:sz w:val="20"/>
          <w:szCs w:val="20"/>
        </w:rPr>
        <w:t>Plant Physiology</w:t>
      </w:r>
      <w:r w:rsidRPr="000D3FE0">
        <w:rPr>
          <w:rFonts w:ascii="Arial" w:hAnsi="Arial" w:cs="Arial"/>
          <w:b w:val="0"/>
          <w:color w:val="auto"/>
          <w:sz w:val="20"/>
          <w:szCs w:val="20"/>
        </w:rPr>
        <w:t>,</w:t>
      </w:r>
      <w:r w:rsidRPr="000D3FE0">
        <w:rPr>
          <w:rStyle w:val="cit"/>
          <w:rFonts w:ascii="Arial" w:hAnsi="Arial" w:cs="Arial"/>
          <w:color w:val="auto"/>
          <w:sz w:val="20"/>
          <w:szCs w:val="20"/>
        </w:rPr>
        <w:t xml:space="preserve"> </w:t>
      </w:r>
      <w:r w:rsidRPr="000D0ED3">
        <w:rPr>
          <w:rStyle w:val="cit"/>
          <w:rFonts w:ascii="Arial" w:hAnsi="Arial" w:cs="Arial"/>
          <w:b w:val="0"/>
          <w:color w:val="auto"/>
          <w:sz w:val="20"/>
          <w:szCs w:val="20"/>
        </w:rPr>
        <w:t xml:space="preserve">167(3), 800–816. </w:t>
      </w:r>
      <w:r w:rsidRPr="000D0ED3">
        <w:rPr>
          <w:rStyle w:val="doi"/>
          <w:rFonts w:ascii="Arial" w:hAnsi="Arial" w:cs="Arial"/>
          <w:b w:val="0"/>
          <w:color w:val="auto"/>
          <w:sz w:val="20"/>
          <w:szCs w:val="20"/>
        </w:rPr>
        <w:t>https://doi.org</w:t>
      </w:r>
      <w:r w:rsidRPr="000D3FE0">
        <w:rPr>
          <w:rStyle w:val="doi"/>
          <w:rFonts w:ascii="Arial" w:hAnsi="Arial" w:cs="Arial"/>
          <w:color w:val="auto"/>
          <w:sz w:val="20"/>
          <w:szCs w:val="20"/>
        </w:rPr>
        <w:t>/</w:t>
      </w:r>
      <w:r w:rsidRPr="000D0ED3">
        <w:rPr>
          <w:rFonts w:ascii="Arial" w:hAnsi="Arial" w:cs="Arial"/>
          <w:b w:val="0"/>
          <w:color w:val="auto"/>
          <w:sz w:val="20"/>
          <w:szCs w:val="20"/>
        </w:rPr>
        <w:t>10.1104/pp.114.254284</w:t>
      </w:r>
    </w:p>
    <w:p w:rsidR="004F415E" w:rsidRPr="000D3FE0" w:rsidRDefault="004F415E" w:rsidP="004F415E">
      <w:pPr>
        <w:autoSpaceDE w:val="0"/>
        <w:autoSpaceDN w:val="0"/>
        <w:adjustRightInd w:val="0"/>
        <w:spacing w:after="240" w:line="360" w:lineRule="auto"/>
        <w:ind w:left="851" w:hanging="851"/>
        <w:rPr>
          <w:rFonts w:ascii="Arial" w:hAnsi="Arial" w:cs="Arial"/>
          <w:iCs/>
          <w:color w:val="131413"/>
          <w:sz w:val="20"/>
          <w:szCs w:val="20"/>
        </w:rPr>
      </w:pPr>
      <w:r w:rsidRPr="000D3FE0">
        <w:rPr>
          <w:rFonts w:ascii="Arial" w:hAnsi="Arial" w:cs="Arial"/>
          <w:color w:val="000000"/>
          <w:sz w:val="20"/>
          <w:szCs w:val="20"/>
        </w:rPr>
        <w:t>Freije, A., Saleh, K., Islam, S., &amp; Al-Mannai, M.  (2018). T</w:t>
      </w:r>
      <w:r w:rsidRPr="000D3FE0">
        <w:rPr>
          <w:rFonts w:ascii="Arial" w:hAnsi="Arial" w:cs="Arial"/>
          <w:bCs/>
          <w:color w:val="000000"/>
          <w:sz w:val="20"/>
          <w:szCs w:val="20"/>
        </w:rPr>
        <w:t xml:space="preserve">he mechanism behind the promotive effect of foliar application of 5-aminolevulinic acid (ALA) in tomato plants under salt stress. </w:t>
      </w:r>
      <w:r w:rsidRPr="000D3FE0">
        <w:rPr>
          <w:rFonts w:ascii="Arial" w:hAnsi="Arial" w:cs="Arial"/>
          <w:bCs/>
          <w:i/>
          <w:color w:val="000000"/>
          <w:sz w:val="20"/>
          <w:szCs w:val="20"/>
        </w:rPr>
        <w:t>Journal of Advances in Agriculture</w:t>
      </w:r>
      <w:r w:rsidRPr="000D3FE0">
        <w:rPr>
          <w:rFonts w:ascii="Arial" w:hAnsi="Arial" w:cs="Arial"/>
          <w:bCs/>
          <w:color w:val="000000"/>
          <w:sz w:val="20"/>
          <w:szCs w:val="20"/>
        </w:rPr>
        <w:t>, 8(01), 1-11.</w:t>
      </w:r>
      <w:r w:rsidRPr="000D3FE0">
        <w:rPr>
          <w:rFonts w:ascii="Arial" w:hAnsi="Arial" w:cs="Arial"/>
          <w:color w:val="000000"/>
          <w:sz w:val="20"/>
          <w:szCs w:val="20"/>
        </w:rPr>
        <w:t xml:space="preserve">  https://doi.org/10.24297/jaa.v8i1.7498</w:t>
      </w:r>
    </w:p>
    <w:p w:rsidR="004F415E" w:rsidRPr="000D3FE0" w:rsidRDefault="004F415E" w:rsidP="004F415E">
      <w:pPr>
        <w:spacing w:after="240" w:line="360" w:lineRule="auto"/>
        <w:ind w:left="851" w:hanging="851"/>
        <w:rPr>
          <w:rFonts w:ascii="Arial" w:hAnsi="Arial" w:cs="Arial"/>
          <w:sz w:val="20"/>
          <w:szCs w:val="20"/>
        </w:rPr>
      </w:pPr>
      <w:r w:rsidRPr="000D3FE0">
        <w:rPr>
          <w:rFonts w:ascii="Arial" w:hAnsi="Arial" w:cs="Arial"/>
          <w:sz w:val="20"/>
          <w:szCs w:val="20"/>
        </w:rPr>
        <w:t xml:space="preserve">Hayat, S., Hayat, Q., Alyemen, M. N., Wani, A. S., Pichtel, J., &amp; Ahmad, A.  (2012).  </w:t>
      </w:r>
      <w:r w:rsidRPr="000D3FE0">
        <w:rPr>
          <w:rFonts w:ascii="Arial" w:hAnsi="Arial" w:cs="Arial"/>
          <w:bCs/>
          <w:sz w:val="20"/>
          <w:szCs w:val="20"/>
        </w:rPr>
        <w:t>Role of proline under changing environments: a</w:t>
      </w:r>
      <w:r w:rsidRPr="000D3FE0">
        <w:rPr>
          <w:rFonts w:ascii="Arial" w:eastAsia="Microsoft JhengHei Light" w:hAnsi="Arial" w:cs="Arial"/>
          <w:sz w:val="20"/>
          <w:szCs w:val="20"/>
        </w:rPr>
        <w:t xml:space="preserve"> review. </w:t>
      </w:r>
      <w:r w:rsidRPr="000D3FE0">
        <w:rPr>
          <w:rFonts w:ascii="Arial" w:hAnsi="Arial" w:cs="Arial"/>
          <w:sz w:val="20"/>
          <w:szCs w:val="20"/>
        </w:rPr>
        <w:t xml:space="preserve"> </w:t>
      </w:r>
      <w:r w:rsidRPr="000D3FE0">
        <w:rPr>
          <w:rFonts w:ascii="Arial" w:hAnsi="Arial" w:cs="Arial"/>
          <w:i/>
          <w:sz w:val="20"/>
          <w:szCs w:val="20"/>
        </w:rPr>
        <w:t>Plant Signaling &amp; Behavior</w:t>
      </w:r>
      <w:r w:rsidRPr="000D3FE0">
        <w:rPr>
          <w:rFonts w:ascii="Arial" w:hAnsi="Arial" w:cs="Arial"/>
          <w:sz w:val="20"/>
          <w:szCs w:val="20"/>
        </w:rPr>
        <w:t>, 7(11), 1456-1466.  http://dx.doi.org/10.4161/psb.21949</w:t>
      </w:r>
    </w:p>
    <w:p w:rsidR="004F415E" w:rsidRDefault="004F415E" w:rsidP="004F415E">
      <w:pPr>
        <w:spacing w:after="240" w:line="360" w:lineRule="auto"/>
        <w:ind w:left="851" w:hanging="851"/>
        <w:rPr>
          <w:rFonts w:ascii="Arial" w:hAnsi="Arial" w:cs="Arial"/>
          <w:bCs/>
          <w:sz w:val="20"/>
          <w:szCs w:val="20"/>
        </w:rPr>
      </w:pPr>
      <w:r w:rsidRPr="004C41E0">
        <w:rPr>
          <w:rFonts w:ascii="Arial" w:hAnsi="Arial" w:cs="Arial"/>
          <w:bCs/>
          <w:sz w:val="20"/>
          <w:szCs w:val="20"/>
          <w:highlight w:val="yellow"/>
        </w:rPr>
        <w:t xml:space="preserve">Jaya, K. K., Lakitan, B., &amp; Negara, Z. P. (2019). Depth of Water-Substrate Interface in Floating Culture and Nutrient-Enriched Substrate Effect on Green Apple Eggplant. </w:t>
      </w:r>
      <w:r w:rsidRPr="004C41E0">
        <w:rPr>
          <w:rFonts w:ascii="Arial" w:hAnsi="Arial" w:cs="Arial"/>
          <w:bCs/>
          <w:i/>
          <w:sz w:val="20"/>
          <w:szCs w:val="20"/>
          <w:highlight w:val="yellow"/>
        </w:rPr>
        <w:t>AGRIVITA Journal of Agricultural Science</w:t>
      </w:r>
      <w:r w:rsidRPr="004C41E0">
        <w:rPr>
          <w:rFonts w:ascii="Arial" w:hAnsi="Arial" w:cs="Arial"/>
          <w:bCs/>
          <w:sz w:val="20"/>
          <w:szCs w:val="20"/>
          <w:highlight w:val="yellow"/>
        </w:rPr>
        <w:t>, 41(2), 219–226. http://doi.org/10.17503/agrivita.v41i2.2235</w:t>
      </w:r>
    </w:p>
    <w:p w:rsidR="004F415E" w:rsidRPr="000D3FE0" w:rsidRDefault="004F415E" w:rsidP="004F415E">
      <w:pPr>
        <w:spacing w:after="240" w:line="360" w:lineRule="auto"/>
        <w:ind w:left="851" w:hanging="851"/>
        <w:rPr>
          <w:rFonts w:ascii="Arial" w:eastAsia="MS PMincho" w:hAnsi="Arial" w:cs="Arial"/>
          <w:sz w:val="20"/>
          <w:szCs w:val="20"/>
        </w:rPr>
      </w:pPr>
      <w:r w:rsidRPr="000D3FE0">
        <w:rPr>
          <w:rFonts w:ascii="Arial" w:hAnsi="Arial" w:cs="Arial"/>
          <w:sz w:val="20"/>
          <w:szCs w:val="20"/>
        </w:rPr>
        <w:t xml:space="preserve">Jiang, C., Johkan, M., Hojo, M., Tsukagoshi, S., &amp; Maruo, T.  (2017).  </w:t>
      </w:r>
      <w:r w:rsidRPr="000D3FE0">
        <w:rPr>
          <w:rFonts w:ascii="Arial" w:hAnsi="Arial" w:cs="Arial"/>
          <w:bCs/>
          <w:color w:val="231F20"/>
          <w:sz w:val="20"/>
          <w:szCs w:val="20"/>
        </w:rPr>
        <w:t xml:space="preserve">A correlation analysis on chlorophyll content and SPAD value in tomato leaves. </w:t>
      </w:r>
      <w:r w:rsidRPr="000D3FE0">
        <w:rPr>
          <w:rFonts w:ascii="Arial" w:hAnsi="Arial" w:cs="Arial"/>
          <w:i/>
          <w:color w:val="231F20"/>
          <w:sz w:val="20"/>
          <w:szCs w:val="20"/>
        </w:rPr>
        <w:t>HortResearch</w:t>
      </w:r>
      <w:r w:rsidRPr="000D3FE0">
        <w:rPr>
          <w:rFonts w:ascii="Arial" w:hAnsi="Arial" w:cs="Arial"/>
          <w:color w:val="231F20"/>
          <w:sz w:val="20"/>
          <w:szCs w:val="20"/>
        </w:rPr>
        <w:t xml:space="preserve">, </w:t>
      </w:r>
      <w:r w:rsidRPr="000D3FE0">
        <w:rPr>
          <w:rFonts w:ascii="Arial" w:eastAsia="MS PMincho" w:hAnsi="Arial" w:cs="Arial"/>
          <w:color w:val="231F20"/>
          <w:sz w:val="20"/>
          <w:szCs w:val="20"/>
        </w:rPr>
        <w:t>71</w:t>
      </w:r>
      <w:r w:rsidRPr="000D3FE0">
        <w:rPr>
          <w:rFonts w:ascii="Arial" w:hAnsi="Arial" w:cs="Arial"/>
          <w:color w:val="231F20"/>
          <w:sz w:val="20"/>
          <w:szCs w:val="20"/>
        </w:rPr>
        <w:t xml:space="preserve">, </w:t>
      </w:r>
      <w:r w:rsidRPr="000D3FE0">
        <w:rPr>
          <w:rFonts w:ascii="Arial" w:eastAsia="MS PMincho" w:hAnsi="Arial" w:cs="Arial"/>
          <w:color w:val="231F20"/>
          <w:sz w:val="20"/>
          <w:szCs w:val="20"/>
        </w:rPr>
        <w:t xml:space="preserve">37-42. </w:t>
      </w:r>
      <w:r w:rsidRPr="004C0680">
        <w:rPr>
          <w:rFonts w:ascii="Arial" w:hAnsi="Arial" w:cs="Arial"/>
          <w:sz w:val="20"/>
          <w:szCs w:val="20"/>
        </w:rPr>
        <w:t>http://doi.org/</w:t>
      </w:r>
      <w:r w:rsidRPr="004C0680">
        <w:rPr>
          <w:rFonts w:ascii="Arial" w:eastAsia="MS PMincho" w:hAnsi="Arial" w:cs="Arial"/>
          <w:sz w:val="20"/>
          <w:szCs w:val="20"/>
        </w:rPr>
        <w:t>10</w:t>
      </w:r>
      <w:r w:rsidRPr="004C0680">
        <w:rPr>
          <w:rFonts w:ascii="Arial" w:hAnsi="Arial" w:cs="Arial"/>
          <w:sz w:val="20"/>
          <w:szCs w:val="20"/>
        </w:rPr>
        <w:t>.</w:t>
      </w:r>
      <w:r w:rsidRPr="004C0680">
        <w:rPr>
          <w:rFonts w:ascii="Arial" w:eastAsia="MS PMincho" w:hAnsi="Arial" w:cs="Arial"/>
          <w:sz w:val="20"/>
          <w:szCs w:val="20"/>
        </w:rPr>
        <w:t>20776</w:t>
      </w:r>
      <w:r w:rsidRPr="004C0680">
        <w:rPr>
          <w:rFonts w:ascii="Arial" w:hAnsi="Arial" w:cs="Arial"/>
          <w:sz w:val="20"/>
          <w:szCs w:val="20"/>
        </w:rPr>
        <w:t>/S</w:t>
      </w:r>
      <w:r w:rsidRPr="004C0680">
        <w:rPr>
          <w:rFonts w:ascii="Arial" w:eastAsia="MS PMincho" w:hAnsi="Arial" w:cs="Arial"/>
          <w:sz w:val="20"/>
          <w:szCs w:val="20"/>
        </w:rPr>
        <w:t>18808824</w:t>
      </w:r>
      <w:r w:rsidRPr="004C0680">
        <w:rPr>
          <w:rFonts w:ascii="Arial" w:hAnsi="Arial" w:cs="Arial"/>
          <w:sz w:val="20"/>
          <w:szCs w:val="20"/>
        </w:rPr>
        <w:t>-</w:t>
      </w:r>
      <w:r w:rsidRPr="004C0680">
        <w:rPr>
          <w:rFonts w:ascii="Arial" w:eastAsia="MS PMincho" w:hAnsi="Arial" w:cs="Arial"/>
          <w:sz w:val="20"/>
          <w:szCs w:val="20"/>
        </w:rPr>
        <w:t>71</w:t>
      </w:r>
      <w:r w:rsidRPr="004C0680">
        <w:rPr>
          <w:rFonts w:ascii="Arial" w:hAnsi="Arial" w:cs="Arial"/>
          <w:sz w:val="20"/>
          <w:szCs w:val="20"/>
        </w:rPr>
        <w:t>-P</w:t>
      </w:r>
      <w:r w:rsidRPr="004C0680">
        <w:rPr>
          <w:rFonts w:ascii="Arial" w:eastAsia="MS PMincho" w:hAnsi="Arial" w:cs="Arial"/>
          <w:sz w:val="20"/>
          <w:szCs w:val="20"/>
        </w:rPr>
        <w:t>37</w:t>
      </w:r>
    </w:p>
    <w:p w:rsidR="004F415E" w:rsidRDefault="004F415E" w:rsidP="004F415E">
      <w:pPr>
        <w:spacing w:after="240" w:line="360" w:lineRule="auto"/>
        <w:ind w:left="851" w:hanging="851"/>
        <w:rPr>
          <w:rFonts w:ascii="Arial" w:hAnsi="Arial" w:cs="Arial"/>
          <w:sz w:val="20"/>
          <w:szCs w:val="20"/>
        </w:rPr>
      </w:pPr>
      <w:r w:rsidRPr="008A4F7E">
        <w:rPr>
          <w:rFonts w:ascii="Arial" w:hAnsi="Arial" w:cs="Arial"/>
          <w:sz w:val="20"/>
          <w:szCs w:val="20"/>
        </w:rPr>
        <w:t>Kalsoom U, Bennett IJ, Boyce MC (2016) A Review of Extraction and Analysis: Methods for Studying Osmoregulants in Plants. J Chromatogr Sep Tech 7: 315. doi:10.4172/2157-7064.1000315</w:t>
      </w:r>
    </w:p>
    <w:p w:rsidR="004F415E" w:rsidRDefault="004F415E" w:rsidP="004F415E">
      <w:pPr>
        <w:spacing w:after="240" w:line="360" w:lineRule="auto"/>
        <w:ind w:left="851" w:hanging="851"/>
        <w:rPr>
          <w:rStyle w:val="Hyperlink"/>
          <w:rFonts w:ascii="Arial" w:eastAsia="Times New Roman" w:hAnsi="Arial" w:cs="Arial"/>
          <w:color w:val="auto"/>
          <w:sz w:val="20"/>
          <w:szCs w:val="20"/>
          <w:u w:val="none"/>
        </w:rPr>
      </w:pPr>
      <w:r w:rsidRPr="007C1D5A">
        <w:rPr>
          <w:rFonts w:ascii="Arial" w:eastAsia="Times New Roman" w:hAnsi="Arial" w:cs="Arial"/>
          <w:sz w:val="20"/>
          <w:szCs w:val="20"/>
          <w:highlight w:val="cyan"/>
        </w:rPr>
        <w:lastRenderedPageBreak/>
        <w:t>Lakitan, B., Kadir, S., &amp; Wijaya, A., &amp; Susilawati.   (2018). Tolerance of common bean (</w:t>
      </w:r>
      <w:r w:rsidRPr="007C1D5A">
        <w:rPr>
          <w:rFonts w:ascii="Arial" w:eastAsia="Times New Roman" w:hAnsi="Arial" w:cs="Arial"/>
          <w:i/>
          <w:sz w:val="20"/>
          <w:szCs w:val="20"/>
          <w:highlight w:val="cyan"/>
        </w:rPr>
        <w:t>Phaseolus vulgaris</w:t>
      </w:r>
      <w:r w:rsidRPr="007C1D5A">
        <w:rPr>
          <w:rFonts w:ascii="Arial" w:eastAsia="Times New Roman" w:hAnsi="Arial" w:cs="Arial"/>
          <w:sz w:val="20"/>
          <w:szCs w:val="20"/>
          <w:highlight w:val="cyan"/>
        </w:rPr>
        <w:t xml:space="preserve"> L.) to different durations of simulated shallow water table condition. </w:t>
      </w:r>
      <w:r w:rsidRPr="007C1D5A">
        <w:rPr>
          <w:rFonts w:ascii="Arial" w:eastAsia="Times New Roman" w:hAnsi="Arial" w:cs="Arial"/>
          <w:i/>
          <w:iCs/>
          <w:sz w:val="20"/>
          <w:szCs w:val="20"/>
          <w:highlight w:val="cyan"/>
        </w:rPr>
        <w:t>Australian Journal of Crop Science</w:t>
      </w:r>
      <w:r w:rsidRPr="007C1D5A">
        <w:rPr>
          <w:rFonts w:ascii="Arial" w:eastAsia="Times New Roman" w:hAnsi="Arial" w:cs="Arial"/>
          <w:sz w:val="20"/>
          <w:szCs w:val="20"/>
          <w:highlight w:val="cyan"/>
        </w:rPr>
        <w:t xml:space="preserve">, </w:t>
      </w:r>
      <w:r w:rsidRPr="007C1D5A">
        <w:rPr>
          <w:rFonts w:ascii="Arial" w:eastAsia="Times New Roman" w:hAnsi="Arial" w:cs="Arial"/>
          <w:iCs/>
          <w:sz w:val="20"/>
          <w:szCs w:val="20"/>
          <w:highlight w:val="cyan"/>
        </w:rPr>
        <w:t>12(04)</w:t>
      </w:r>
      <w:r w:rsidRPr="007C1D5A">
        <w:rPr>
          <w:rFonts w:ascii="Arial" w:eastAsia="Times New Roman" w:hAnsi="Arial" w:cs="Arial"/>
          <w:sz w:val="20"/>
          <w:szCs w:val="20"/>
          <w:highlight w:val="cyan"/>
        </w:rPr>
        <w:t xml:space="preserve">, 661-668.  </w:t>
      </w:r>
      <w:r w:rsidRPr="007C1D5A">
        <w:rPr>
          <w:rStyle w:val="Hyperlink"/>
          <w:rFonts w:ascii="Arial" w:eastAsia="Times New Roman" w:hAnsi="Arial" w:cs="Arial"/>
          <w:color w:val="auto"/>
          <w:sz w:val="20"/>
          <w:szCs w:val="20"/>
          <w:highlight w:val="cyan"/>
          <w:u w:val="none"/>
        </w:rPr>
        <w:t>http://doi.org/10.21475/ajcs.18.12.04.pne1047</w:t>
      </w:r>
    </w:p>
    <w:p w:rsidR="004F415E" w:rsidRPr="000D3FE0" w:rsidRDefault="004F415E" w:rsidP="004F415E">
      <w:pPr>
        <w:spacing w:after="240" w:line="360" w:lineRule="auto"/>
        <w:ind w:left="851" w:hanging="851"/>
        <w:rPr>
          <w:rFonts w:ascii="Arial" w:eastAsia="Times New Roman" w:hAnsi="Arial" w:cs="Arial"/>
          <w:sz w:val="20"/>
          <w:szCs w:val="20"/>
        </w:rPr>
      </w:pPr>
      <w:r w:rsidRPr="00883000">
        <w:rPr>
          <w:rFonts w:ascii="Arial" w:eastAsia="Times New Roman" w:hAnsi="Arial" w:cs="Arial"/>
          <w:sz w:val="20"/>
          <w:szCs w:val="20"/>
          <w:highlight w:val="yellow"/>
        </w:rPr>
        <w:t xml:space="preserve">Lakitan, B., Lindiana, L., Widuri, L. I., Kartika, K., Siaga, E., Meihana, M., &amp; Wijaya, A. (2019). Inclusive and ecologically-sound food crop cultivation at tropical non-tidal wetlands in Indonesia. </w:t>
      </w:r>
      <w:r w:rsidRPr="00883000">
        <w:rPr>
          <w:rFonts w:ascii="Arial" w:eastAsia="Times New Roman" w:hAnsi="Arial" w:cs="Arial"/>
          <w:i/>
          <w:sz w:val="20"/>
          <w:szCs w:val="20"/>
          <w:highlight w:val="yellow"/>
        </w:rPr>
        <w:t>AGRIVITA Journal of Agricultural Science</w:t>
      </w:r>
      <w:r w:rsidRPr="00883000">
        <w:rPr>
          <w:rFonts w:ascii="Arial" w:eastAsia="Times New Roman" w:hAnsi="Arial" w:cs="Arial"/>
          <w:sz w:val="20"/>
          <w:szCs w:val="20"/>
          <w:highlight w:val="yellow"/>
        </w:rPr>
        <w:t>, 41(1), 23-31. https://doi.org/10.17503/agrivita.v40i0.1717</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color w:val="000000"/>
          <w:sz w:val="20"/>
          <w:szCs w:val="20"/>
        </w:rPr>
        <w:t>Liu, L., Nguyen, N. T., Ueda, A., &amp; Saneoka, H. (2014).  Effects of 5-aminolevulinic acid on Swiss chard (</w:t>
      </w:r>
      <w:r w:rsidRPr="000D3FE0">
        <w:rPr>
          <w:rFonts w:ascii="Arial" w:hAnsi="Arial" w:cs="Arial"/>
          <w:i/>
          <w:color w:val="000000"/>
          <w:sz w:val="20"/>
          <w:szCs w:val="20"/>
        </w:rPr>
        <w:t>Beta vulgaris</w:t>
      </w:r>
      <w:r w:rsidRPr="000D3FE0">
        <w:rPr>
          <w:rFonts w:ascii="Arial" w:hAnsi="Arial" w:cs="Arial"/>
          <w:color w:val="000000"/>
          <w:sz w:val="20"/>
          <w:szCs w:val="20"/>
        </w:rPr>
        <w:t xml:space="preserve"> L. subsp. cicla) seedling growth under saline conditions.  </w:t>
      </w:r>
      <w:r w:rsidRPr="000D3FE0">
        <w:rPr>
          <w:rFonts w:ascii="Arial" w:hAnsi="Arial" w:cs="Arial"/>
          <w:i/>
          <w:color w:val="000000"/>
          <w:sz w:val="20"/>
          <w:szCs w:val="20"/>
        </w:rPr>
        <w:t>Plant Growth Regulator</w:t>
      </w:r>
      <w:r w:rsidRPr="000D3FE0">
        <w:rPr>
          <w:rFonts w:ascii="Arial" w:hAnsi="Arial" w:cs="Arial"/>
          <w:color w:val="000000"/>
          <w:sz w:val="20"/>
          <w:szCs w:val="20"/>
        </w:rPr>
        <w:t xml:space="preserve">, 74, 219–228.  </w:t>
      </w:r>
      <w:r w:rsidRPr="006459DE">
        <w:rPr>
          <w:rStyle w:val="Hyperlink"/>
          <w:rFonts w:ascii="Arial" w:hAnsi="Arial" w:cs="Arial"/>
          <w:color w:val="auto"/>
          <w:sz w:val="20"/>
          <w:szCs w:val="20"/>
          <w:u w:val="none"/>
        </w:rPr>
        <w:t>http://doi.org/10.1007/s10725-014-9913-0</w:t>
      </w:r>
    </w:p>
    <w:p w:rsidR="004F415E" w:rsidRPr="000D3FE0" w:rsidRDefault="004F415E" w:rsidP="004F415E">
      <w:pPr>
        <w:spacing w:after="240" w:line="360" w:lineRule="auto"/>
        <w:ind w:left="851" w:hanging="851"/>
        <w:rPr>
          <w:rFonts w:ascii="Arial" w:hAnsi="Arial" w:cs="Arial"/>
          <w:sz w:val="20"/>
          <w:szCs w:val="20"/>
        </w:rPr>
      </w:pPr>
      <w:r w:rsidRPr="000D3FE0">
        <w:rPr>
          <w:rFonts w:ascii="Arial" w:hAnsi="Arial" w:cs="Arial"/>
          <w:sz w:val="20"/>
          <w:szCs w:val="20"/>
        </w:rPr>
        <w:t xml:space="preserve">Manafi, E., Modarressanavy, S. A. M., Aghaalikhani, M., &amp; Dolatabadian, A.  (2015). Exogenous 5-aminolevulenic acid promotes antioxidative defence system, photosynthesis and growth in soybean against cold stress.  </w:t>
      </w:r>
      <w:r w:rsidRPr="000D3FE0">
        <w:rPr>
          <w:rFonts w:ascii="Arial" w:hAnsi="Arial" w:cs="Arial"/>
          <w:i/>
          <w:sz w:val="20"/>
          <w:szCs w:val="20"/>
        </w:rPr>
        <w:t>Notulae Scientia</w:t>
      </w:r>
      <w:r w:rsidRPr="000D3FE0">
        <w:rPr>
          <w:rFonts w:ascii="Arial" w:hAnsi="Arial" w:cs="Arial"/>
          <w:sz w:val="20"/>
          <w:szCs w:val="20"/>
        </w:rPr>
        <w:t xml:space="preserve"> </w:t>
      </w:r>
      <w:r w:rsidRPr="000D3FE0">
        <w:rPr>
          <w:rFonts w:ascii="Arial" w:hAnsi="Arial" w:cs="Arial"/>
          <w:i/>
          <w:sz w:val="20"/>
          <w:szCs w:val="20"/>
        </w:rPr>
        <w:t>Biologicae</w:t>
      </w:r>
      <w:r w:rsidRPr="000D3FE0">
        <w:rPr>
          <w:rFonts w:ascii="Arial" w:hAnsi="Arial" w:cs="Arial"/>
          <w:sz w:val="20"/>
          <w:szCs w:val="20"/>
        </w:rPr>
        <w:t>, 7(4), 486-494.</w:t>
      </w:r>
      <w:r w:rsidRPr="000D3FE0">
        <w:rPr>
          <w:rFonts w:ascii="Arial" w:hAnsi="Arial" w:cs="Arial"/>
          <w:color w:val="000000"/>
          <w:sz w:val="20"/>
          <w:szCs w:val="20"/>
        </w:rPr>
        <w:t xml:space="preserve">  http://doi.org/10.15835/nsb.7.4.9654</w:t>
      </w:r>
    </w:p>
    <w:p w:rsidR="004F415E" w:rsidRPr="000D3FE0" w:rsidRDefault="004F415E" w:rsidP="004F415E">
      <w:pPr>
        <w:spacing w:after="240" w:line="360" w:lineRule="auto"/>
        <w:ind w:left="851" w:hanging="851"/>
        <w:rPr>
          <w:rFonts w:ascii="Arial" w:eastAsia="Times New Roman" w:hAnsi="Arial" w:cs="Arial"/>
          <w:sz w:val="20"/>
          <w:szCs w:val="20"/>
        </w:rPr>
      </w:pPr>
      <w:r w:rsidRPr="007C1D5A">
        <w:rPr>
          <w:rFonts w:ascii="Arial" w:eastAsia="Times New Roman" w:hAnsi="Arial" w:cs="Arial"/>
          <w:sz w:val="20"/>
          <w:szCs w:val="20"/>
          <w:highlight w:val="cyan"/>
        </w:rPr>
        <w:t xml:space="preserve">Meihana, M., Lakitan, B., Susilawati, Harun, M. U., Widuri, L. I., Kartika, K., Siaga, E., &amp; Kriswantoro, H.  (2017). Steady shallow water table did not decrease leaf expansion rate, specific leaf weight, and specific leaf water content in tomato plants. </w:t>
      </w:r>
      <w:r w:rsidRPr="007C1D5A">
        <w:rPr>
          <w:rFonts w:ascii="Arial" w:eastAsia="Times New Roman" w:hAnsi="Arial" w:cs="Arial"/>
          <w:i/>
          <w:iCs/>
          <w:sz w:val="20"/>
          <w:szCs w:val="20"/>
          <w:highlight w:val="cyan"/>
        </w:rPr>
        <w:t>Australian Journal of Crop Science</w:t>
      </w:r>
      <w:r w:rsidRPr="007C1D5A">
        <w:rPr>
          <w:rFonts w:ascii="Arial" w:eastAsia="Times New Roman" w:hAnsi="Arial" w:cs="Arial"/>
          <w:sz w:val="20"/>
          <w:szCs w:val="20"/>
          <w:highlight w:val="cyan"/>
        </w:rPr>
        <w:t xml:space="preserve">, </w:t>
      </w:r>
      <w:r w:rsidRPr="007C1D5A">
        <w:rPr>
          <w:rFonts w:ascii="Arial" w:eastAsia="Times New Roman" w:hAnsi="Arial" w:cs="Arial"/>
          <w:iCs/>
          <w:sz w:val="20"/>
          <w:szCs w:val="20"/>
          <w:highlight w:val="cyan"/>
        </w:rPr>
        <w:t>11(12)</w:t>
      </w:r>
      <w:r w:rsidRPr="007C1D5A">
        <w:rPr>
          <w:rFonts w:ascii="Arial" w:eastAsia="Times New Roman" w:hAnsi="Arial" w:cs="Arial"/>
          <w:sz w:val="20"/>
          <w:szCs w:val="20"/>
          <w:highlight w:val="cyan"/>
        </w:rPr>
        <w:t>, 1635-1641.  http://doi.org/10.21475/ajcs.17.11.12.pne808</w:t>
      </w:r>
    </w:p>
    <w:p w:rsidR="004F415E" w:rsidRPr="000D3FE0" w:rsidRDefault="004F415E" w:rsidP="004F415E">
      <w:pPr>
        <w:spacing w:after="240" w:line="360" w:lineRule="auto"/>
        <w:ind w:left="851" w:hanging="851"/>
        <w:rPr>
          <w:rFonts w:ascii="Arial" w:hAnsi="Arial" w:cs="Arial"/>
          <w:sz w:val="20"/>
          <w:szCs w:val="20"/>
        </w:rPr>
      </w:pPr>
      <w:r w:rsidRPr="000D3FE0">
        <w:rPr>
          <w:rFonts w:ascii="Arial" w:eastAsia="Microsoft JhengHei Light" w:hAnsi="Arial" w:cs="Arial"/>
          <w:sz w:val="20"/>
          <w:szCs w:val="20"/>
        </w:rPr>
        <w:t xml:space="preserve">Ntukamazina, N., Onwonga, R. N., Sommer, R., Mukankusi, C. M., Mburu, J., &amp; Rubyogo, J. C.  (2017).  </w:t>
      </w:r>
      <w:r w:rsidRPr="000D3FE0">
        <w:rPr>
          <w:rFonts w:ascii="Arial" w:hAnsi="Arial" w:cs="Arial"/>
          <w:sz w:val="20"/>
          <w:szCs w:val="20"/>
        </w:rPr>
        <w:t>Effect of excessive and minimal soil moisture stress on agronomic performance of bush and climbing bean (</w:t>
      </w:r>
      <w:r w:rsidRPr="000D3FE0">
        <w:rPr>
          <w:rFonts w:ascii="Arial" w:hAnsi="Arial" w:cs="Arial"/>
          <w:i/>
          <w:iCs/>
          <w:sz w:val="20"/>
          <w:szCs w:val="20"/>
        </w:rPr>
        <w:t xml:space="preserve">Phaseolus vulgaris </w:t>
      </w:r>
      <w:r w:rsidRPr="000D3FE0">
        <w:rPr>
          <w:rFonts w:ascii="Arial" w:hAnsi="Arial" w:cs="Arial"/>
          <w:sz w:val="20"/>
          <w:szCs w:val="20"/>
        </w:rPr>
        <w:t xml:space="preserve">L.).  </w:t>
      </w:r>
      <w:r w:rsidRPr="000D3FE0">
        <w:rPr>
          <w:rFonts w:ascii="Arial" w:hAnsi="Arial" w:cs="Arial"/>
          <w:i/>
          <w:iCs/>
          <w:sz w:val="20"/>
          <w:szCs w:val="20"/>
        </w:rPr>
        <w:t>Cogent Food &amp; Agriculture</w:t>
      </w:r>
      <w:r w:rsidRPr="000D3FE0">
        <w:rPr>
          <w:rFonts w:ascii="Arial" w:hAnsi="Arial" w:cs="Arial"/>
          <w:iCs/>
          <w:sz w:val="20"/>
          <w:szCs w:val="20"/>
        </w:rPr>
        <w:t>, 3</w:t>
      </w:r>
      <w:r w:rsidRPr="000D3FE0">
        <w:rPr>
          <w:rFonts w:ascii="Arial" w:hAnsi="Arial" w:cs="Arial"/>
          <w:sz w:val="20"/>
          <w:szCs w:val="20"/>
        </w:rPr>
        <w:t>, Article 1373414.  http://doi.org/</w:t>
      </w:r>
      <w:r w:rsidRPr="006459DE">
        <w:rPr>
          <w:rFonts w:ascii="Arial" w:hAnsi="Arial" w:cs="Arial"/>
          <w:sz w:val="20"/>
          <w:szCs w:val="20"/>
        </w:rPr>
        <w:t>10.1080/23311932.2017.1373414</w:t>
      </w:r>
    </w:p>
    <w:p w:rsidR="004F415E" w:rsidRPr="000D3FE0" w:rsidRDefault="004F415E" w:rsidP="004F415E">
      <w:pPr>
        <w:pStyle w:val="Heading1"/>
        <w:spacing w:before="0" w:after="240" w:line="360" w:lineRule="auto"/>
        <w:ind w:left="851" w:hanging="851"/>
        <w:rPr>
          <w:rFonts w:ascii="Arial" w:hAnsi="Arial" w:cs="Arial"/>
          <w:b w:val="0"/>
          <w:color w:val="auto"/>
          <w:sz w:val="20"/>
          <w:szCs w:val="20"/>
        </w:rPr>
      </w:pPr>
      <w:r w:rsidRPr="000D3FE0">
        <w:rPr>
          <w:rFonts w:ascii="Arial" w:hAnsi="Arial" w:cs="Arial"/>
          <w:b w:val="0"/>
          <w:color w:val="auto"/>
          <w:sz w:val="20"/>
          <w:szCs w:val="20"/>
        </w:rPr>
        <w:t xml:space="preserve">Phukan, J.J., Mishra, S., &amp; Shukla, R.K. (2016).  Waterlogging and submergence stress: affects and acclimation.  </w:t>
      </w:r>
      <w:r w:rsidRPr="000D3FE0">
        <w:rPr>
          <w:rFonts w:ascii="Arial" w:hAnsi="Arial" w:cs="Arial"/>
          <w:b w:val="0"/>
          <w:i/>
          <w:color w:val="auto"/>
          <w:sz w:val="20"/>
          <w:szCs w:val="20"/>
        </w:rPr>
        <w:t>Critical  Reviews in Biotechnology</w:t>
      </w:r>
      <w:r w:rsidRPr="000D3FE0">
        <w:rPr>
          <w:rFonts w:ascii="Arial" w:hAnsi="Arial" w:cs="Arial"/>
          <w:b w:val="0"/>
          <w:color w:val="auto"/>
          <w:sz w:val="20"/>
          <w:szCs w:val="20"/>
        </w:rPr>
        <w:t>, 36(5), 956-66. https://doi.org/10.3109/07388551.2015.1064856</w:t>
      </w:r>
    </w:p>
    <w:p w:rsidR="004F415E" w:rsidRPr="00107BBA" w:rsidRDefault="004F415E" w:rsidP="004F415E">
      <w:pPr>
        <w:autoSpaceDE w:val="0"/>
        <w:autoSpaceDN w:val="0"/>
        <w:adjustRightInd w:val="0"/>
        <w:spacing w:after="240" w:line="360" w:lineRule="auto"/>
        <w:ind w:left="851" w:hanging="851"/>
        <w:rPr>
          <w:rFonts w:ascii="Arial" w:hAnsi="Arial" w:cs="Arial"/>
          <w:bCs/>
          <w:sz w:val="20"/>
          <w:szCs w:val="20"/>
        </w:rPr>
      </w:pPr>
      <w:r w:rsidRPr="00107BBA">
        <w:rPr>
          <w:rFonts w:ascii="Arial" w:hAnsi="Arial" w:cs="Arial"/>
          <w:sz w:val="20"/>
          <w:szCs w:val="20"/>
        </w:rPr>
        <w:t xml:space="preserve">Pochiecha, E.  (2013).  Different Physiological Reactions at Vegetative and Generative Stage of Development of Field Bean Plants Exposed to Flooding and Undergoing Recovery. </w:t>
      </w:r>
      <w:r w:rsidRPr="00107BBA">
        <w:rPr>
          <w:rFonts w:ascii="Arial" w:hAnsi="Arial" w:cs="Arial"/>
          <w:i/>
          <w:sz w:val="20"/>
          <w:szCs w:val="20"/>
        </w:rPr>
        <w:t>Journal of Agronomy and Crop Science</w:t>
      </w:r>
      <w:r w:rsidRPr="00107BBA">
        <w:rPr>
          <w:rFonts w:ascii="Arial" w:hAnsi="Arial" w:cs="Arial"/>
          <w:sz w:val="20"/>
          <w:szCs w:val="20"/>
        </w:rPr>
        <w:t>, 199, 195-199.  http://doi.org/10.1111/jac.12009</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sz w:val="20"/>
          <w:szCs w:val="20"/>
        </w:rPr>
        <w:t xml:space="preserve">Pradhan, C., &amp; Mohanty, M.  (2013).  Submergence Stress: Responses and adaptations in crop plants. In G.R. Rout, A.B. Das (Eds.), </w:t>
      </w:r>
      <w:r w:rsidRPr="000D3FE0">
        <w:rPr>
          <w:rFonts w:ascii="Arial" w:hAnsi="Arial" w:cs="Arial"/>
          <w:i/>
          <w:sz w:val="20"/>
          <w:szCs w:val="20"/>
        </w:rPr>
        <w:t>Molecular Stress Physiology of Plants</w:t>
      </w:r>
      <w:r w:rsidRPr="000D3FE0">
        <w:rPr>
          <w:rFonts w:ascii="Arial" w:hAnsi="Arial" w:cs="Arial"/>
          <w:sz w:val="20"/>
          <w:szCs w:val="20"/>
        </w:rPr>
        <w:t xml:space="preserve"> (pp.331-357).   https://doi.org/ 10.1007/978-81-322-0807-5_14   </w:t>
      </w:r>
    </w:p>
    <w:p w:rsidR="004F415E" w:rsidRDefault="004F415E" w:rsidP="004F415E">
      <w:pPr>
        <w:pStyle w:val="Heading1"/>
        <w:spacing w:before="0" w:after="240" w:line="360" w:lineRule="auto"/>
        <w:ind w:left="851" w:hanging="851"/>
        <w:rPr>
          <w:rFonts w:ascii="Arial" w:hAnsi="Arial" w:cs="Arial"/>
          <w:b w:val="0"/>
          <w:color w:val="auto"/>
          <w:sz w:val="20"/>
          <w:szCs w:val="20"/>
          <w:lang w:val="en-US"/>
        </w:rPr>
      </w:pPr>
      <w:r w:rsidRPr="00742C8A">
        <w:rPr>
          <w:rStyle w:val="Hyperlink"/>
          <w:rFonts w:ascii="Arial" w:hAnsi="Arial" w:cs="Arial"/>
          <w:b w:val="0"/>
          <w:color w:val="auto"/>
          <w:sz w:val="20"/>
          <w:szCs w:val="20"/>
          <w:u w:val="none"/>
        </w:rPr>
        <w:lastRenderedPageBreak/>
        <w:t>Sade, N</w:t>
      </w:r>
      <w:r w:rsidRPr="000D3FE0">
        <w:rPr>
          <w:rFonts w:ascii="Arial" w:hAnsi="Arial" w:cs="Arial"/>
          <w:b w:val="0"/>
          <w:color w:val="auto"/>
          <w:sz w:val="20"/>
          <w:szCs w:val="20"/>
        </w:rPr>
        <w:t xml:space="preserve">.,  </w:t>
      </w:r>
      <w:r w:rsidRPr="00742C8A">
        <w:rPr>
          <w:rFonts w:ascii="Arial" w:hAnsi="Arial" w:cs="Arial"/>
          <w:b w:val="0"/>
          <w:color w:val="auto"/>
          <w:sz w:val="20"/>
          <w:szCs w:val="20"/>
        </w:rPr>
        <w:t>del Mar Rubio-Wilhelmi, M</w:t>
      </w:r>
      <w:r w:rsidRPr="000D3FE0">
        <w:rPr>
          <w:rFonts w:ascii="Arial" w:hAnsi="Arial" w:cs="Arial"/>
          <w:b w:val="0"/>
          <w:color w:val="auto"/>
          <w:sz w:val="20"/>
          <w:szCs w:val="20"/>
        </w:rPr>
        <w:t xml:space="preserve">., </w:t>
      </w:r>
      <w:r w:rsidRPr="00742C8A">
        <w:rPr>
          <w:rFonts w:ascii="Arial" w:hAnsi="Arial" w:cs="Arial"/>
          <w:b w:val="0"/>
          <w:color w:val="auto"/>
          <w:sz w:val="20"/>
          <w:szCs w:val="20"/>
        </w:rPr>
        <w:t>Umnajkitikorn, K</w:t>
      </w:r>
      <w:r w:rsidRPr="000D3FE0">
        <w:rPr>
          <w:rFonts w:ascii="Arial" w:hAnsi="Arial" w:cs="Arial"/>
          <w:b w:val="0"/>
          <w:color w:val="auto"/>
          <w:sz w:val="20"/>
          <w:szCs w:val="20"/>
        </w:rPr>
        <w:t xml:space="preserve">., &amp; </w:t>
      </w:r>
      <w:hyperlink r:id="rId7" w:history="1">
        <w:r w:rsidRPr="00C229D4">
          <w:rPr>
            <w:rStyle w:val="Hyperlink"/>
            <w:rFonts w:ascii="Arial" w:hAnsi="Arial" w:cs="Arial"/>
            <w:b w:val="0"/>
            <w:color w:val="auto"/>
            <w:sz w:val="20"/>
            <w:szCs w:val="20"/>
            <w:u w:val="none"/>
          </w:rPr>
          <w:t>Blumwald, E</w:t>
        </w:r>
      </w:hyperlink>
      <w:r w:rsidRPr="000D3FE0">
        <w:rPr>
          <w:rFonts w:ascii="Arial" w:hAnsi="Arial" w:cs="Arial"/>
          <w:b w:val="0"/>
          <w:color w:val="auto"/>
          <w:sz w:val="20"/>
          <w:szCs w:val="20"/>
        </w:rPr>
        <w:t xml:space="preserve">.   (2017). Stress-induced senescence and plant tolerance to abiotic stress. </w:t>
      </w:r>
      <w:r w:rsidRPr="000D3FE0">
        <w:rPr>
          <w:rFonts w:ascii="Arial" w:hAnsi="Arial" w:cs="Arial"/>
          <w:b w:val="0"/>
          <w:i/>
          <w:color w:val="auto"/>
          <w:sz w:val="20"/>
          <w:szCs w:val="20"/>
        </w:rPr>
        <w:t>Journal of Experimental Botany</w:t>
      </w:r>
      <w:r w:rsidRPr="000D3FE0">
        <w:rPr>
          <w:rFonts w:ascii="Arial" w:hAnsi="Arial" w:cs="Arial"/>
          <w:b w:val="0"/>
          <w:color w:val="auto"/>
          <w:sz w:val="20"/>
          <w:szCs w:val="20"/>
        </w:rPr>
        <w:t xml:space="preserve">, 69(4),845-853. </w:t>
      </w:r>
      <w:r w:rsidRPr="00981671">
        <w:rPr>
          <w:rFonts w:ascii="Arial" w:hAnsi="Arial" w:cs="Arial"/>
          <w:b w:val="0"/>
          <w:color w:val="auto"/>
          <w:sz w:val="20"/>
          <w:szCs w:val="20"/>
        </w:rPr>
        <w:t>https://doi.org/10.1093/jxb/erx235</w:t>
      </w:r>
    </w:p>
    <w:p w:rsidR="004F415E" w:rsidRDefault="004F415E" w:rsidP="004F415E">
      <w:pPr>
        <w:spacing w:after="240" w:line="360" w:lineRule="auto"/>
        <w:ind w:left="851" w:hanging="851"/>
        <w:rPr>
          <w:rFonts w:ascii="Arial" w:hAnsi="Arial" w:cs="Arial"/>
          <w:color w:val="000000" w:themeColor="text1"/>
          <w:sz w:val="20"/>
          <w:szCs w:val="20"/>
        </w:rPr>
      </w:pPr>
      <w:r w:rsidRPr="00981671">
        <w:rPr>
          <w:rFonts w:ascii="Arial" w:hAnsi="Arial" w:cs="Arial"/>
          <w:sz w:val="20"/>
          <w:szCs w:val="20"/>
          <w:highlight w:val="yellow"/>
        </w:rPr>
        <w:t xml:space="preserve">Santosa, M., Maghfoer, M. D., &amp; Tarno, H. (2017). The influence of organic and inorganic fertilizers on the growth and yield of green bean, </w:t>
      </w:r>
      <w:r w:rsidRPr="00981671">
        <w:rPr>
          <w:rFonts w:ascii="Arial" w:hAnsi="Arial" w:cs="Arial"/>
          <w:i/>
          <w:sz w:val="20"/>
          <w:szCs w:val="20"/>
          <w:highlight w:val="yellow"/>
        </w:rPr>
        <w:t>Phaseolus vulgaris</w:t>
      </w:r>
      <w:r w:rsidRPr="00981671">
        <w:rPr>
          <w:rFonts w:ascii="Arial" w:hAnsi="Arial" w:cs="Arial"/>
          <w:sz w:val="20"/>
          <w:szCs w:val="20"/>
          <w:highlight w:val="yellow"/>
        </w:rPr>
        <w:t xml:space="preserve"> L. grown in dry and rainy season. </w:t>
      </w:r>
      <w:r w:rsidRPr="00981671">
        <w:rPr>
          <w:rFonts w:ascii="Arial" w:hAnsi="Arial" w:cs="Arial"/>
          <w:i/>
          <w:sz w:val="20"/>
          <w:szCs w:val="20"/>
          <w:highlight w:val="yellow"/>
        </w:rPr>
        <w:t>AGRIVITA Journal of Agricultural Science</w:t>
      </w:r>
      <w:r w:rsidRPr="00981671">
        <w:rPr>
          <w:rFonts w:ascii="Arial" w:hAnsi="Arial" w:cs="Arial"/>
          <w:sz w:val="20"/>
          <w:szCs w:val="20"/>
          <w:highlight w:val="yellow"/>
        </w:rPr>
        <w:t xml:space="preserve">, 39(3), 296–302. </w:t>
      </w:r>
      <w:r w:rsidRPr="00883000">
        <w:rPr>
          <w:rFonts w:ascii="Arial" w:hAnsi="Arial" w:cs="Arial"/>
          <w:sz w:val="20"/>
          <w:szCs w:val="20"/>
          <w:highlight w:val="yellow"/>
        </w:rPr>
        <w:t>http://doi.org/10.17503/agrivita.v39i3.646</w:t>
      </w:r>
    </w:p>
    <w:p w:rsidR="004F415E" w:rsidRPr="000D3FE0" w:rsidRDefault="004F415E" w:rsidP="004F415E">
      <w:pPr>
        <w:autoSpaceDE w:val="0"/>
        <w:autoSpaceDN w:val="0"/>
        <w:adjustRightInd w:val="0"/>
        <w:spacing w:after="240" w:line="360" w:lineRule="auto"/>
        <w:ind w:left="851" w:hanging="851"/>
        <w:rPr>
          <w:rFonts w:ascii="Arial" w:hAnsi="Arial" w:cs="Arial"/>
          <w:bCs/>
          <w:iCs/>
          <w:sz w:val="20"/>
          <w:szCs w:val="20"/>
        </w:rPr>
      </w:pPr>
      <w:r w:rsidRPr="00F45582">
        <w:rPr>
          <w:rFonts w:ascii="Arial" w:hAnsi="Arial" w:cs="Arial"/>
          <w:color w:val="000000"/>
          <w:sz w:val="20"/>
          <w:szCs w:val="20"/>
          <w:highlight w:val="yellow"/>
        </w:rPr>
        <w:t>Sudrajat, D.J., Siregar, I.S., Khumaida, N., Siregar, U.J., &amp; Mansur, I.  (2015). Adaptability of white jabon</w:t>
      </w:r>
      <w:r w:rsidRPr="00F45582">
        <w:rPr>
          <w:rFonts w:ascii="Arial" w:hAnsi="Arial" w:cs="Arial"/>
          <w:i/>
          <w:iCs/>
          <w:color w:val="000000"/>
          <w:sz w:val="20"/>
          <w:szCs w:val="20"/>
          <w:highlight w:val="yellow"/>
        </w:rPr>
        <w:t xml:space="preserve"> </w:t>
      </w:r>
      <w:r w:rsidRPr="00F45582">
        <w:rPr>
          <w:rFonts w:ascii="Arial" w:hAnsi="Arial" w:cs="Arial"/>
          <w:bCs/>
          <w:color w:val="000000"/>
          <w:sz w:val="20"/>
          <w:szCs w:val="20"/>
          <w:highlight w:val="yellow"/>
        </w:rPr>
        <w:t>(</w:t>
      </w:r>
      <w:r w:rsidRPr="00F45582">
        <w:rPr>
          <w:rFonts w:ascii="Arial" w:hAnsi="Arial" w:cs="Arial"/>
          <w:bCs/>
          <w:i/>
          <w:iCs/>
          <w:color w:val="000000"/>
          <w:sz w:val="20"/>
          <w:szCs w:val="20"/>
          <w:highlight w:val="yellow"/>
        </w:rPr>
        <w:t>Anthocephalus cadamba</w:t>
      </w:r>
      <w:r w:rsidRPr="00F45582">
        <w:rPr>
          <w:rFonts w:ascii="Arial" w:hAnsi="Arial" w:cs="Arial"/>
          <w:bCs/>
          <w:color w:val="000000"/>
          <w:sz w:val="20"/>
          <w:szCs w:val="20"/>
          <w:highlight w:val="yellow"/>
        </w:rPr>
        <w:t xml:space="preserve"> Miq.) seedling from 12 populations to drought and waterlogging.  </w:t>
      </w:r>
      <w:r w:rsidRPr="00F45582">
        <w:rPr>
          <w:rFonts w:ascii="Arial" w:hAnsi="Arial" w:cs="Arial"/>
          <w:bCs/>
          <w:i/>
          <w:color w:val="000000"/>
          <w:sz w:val="20"/>
          <w:szCs w:val="20"/>
          <w:highlight w:val="yellow"/>
        </w:rPr>
        <w:t>AGRIVITA</w:t>
      </w:r>
      <w:r>
        <w:rPr>
          <w:rFonts w:ascii="Arial" w:hAnsi="Arial" w:cs="Arial"/>
          <w:bCs/>
          <w:i/>
          <w:color w:val="000000"/>
          <w:sz w:val="20"/>
          <w:szCs w:val="20"/>
          <w:highlight w:val="yellow"/>
        </w:rPr>
        <w:t xml:space="preserve"> Journal of Agricultural Science</w:t>
      </w:r>
      <w:r w:rsidRPr="00F45582">
        <w:rPr>
          <w:rFonts w:ascii="Arial" w:hAnsi="Arial" w:cs="Arial"/>
          <w:bCs/>
          <w:color w:val="000000"/>
          <w:sz w:val="20"/>
          <w:szCs w:val="20"/>
          <w:highlight w:val="yellow"/>
        </w:rPr>
        <w:t>, 37(2), 130-143</w:t>
      </w:r>
      <w:r w:rsidRPr="00F45582">
        <w:rPr>
          <w:rFonts w:ascii="Arial" w:hAnsi="Arial" w:cs="Arial"/>
          <w:bCs/>
          <w:sz w:val="20"/>
          <w:szCs w:val="20"/>
          <w:highlight w:val="yellow"/>
        </w:rPr>
        <w:t xml:space="preserve">. </w:t>
      </w:r>
      <w:r w:rsidRPr="00F45582">
        <w:rPr>
          <w:rFonts w:ascii="Arial" w:hAnsi="Arial" w:cs="Arial"/>
          <w:i/>
          <w:iCs/>
          <w:sz w:val="20"/>
          <w:szCs w:val="20"/>
          <w:highlight w:val="yellow"/>
        </w:rPr>
        <w:t xml:space="preserve"> </w:t>
      </w:r>
      <w:r w:rsidRPr="00F45582">
        <w:rPr>
          <w:rStyle w:val="Hyperlink"/>
          <w:rFonts w:ascii="Arial" w:hAnsi="Arial" w:cs="Arial"/>
          <w:iCs/>
          <w:color w:val="auto"/>
          <w:sz w:val="20"/>
          <w:szCs w:val="20"/>
          <w:highlight w:val="yellow"/>
          <w:u w:val="none"/>
        </w:rPr>
        <w:t>http://dx.doi.org/10.17503/Agrivita-2015-37-2-p130-14</w:t>
      </w:r>
      <w:r w:rsidRPr="00F45582">
        <w:rPr>
          <w:rFonts w:ascii="Arial" w:hAnsi="Arial" w:cs="Arial"/>
          <w:bCs/>
          <w:iCs/>
          <w:sz w:val="20"/>
          <w:szCs w:val="20"/>
          <w:highlight w:val="yellow"/>
        </w:rPr>
        <w:t>3</w:t>
      </w:r>
      <w:r w:rsidRPr="00F45582">
        <w:rPr>
          <w:rFonts w:ascii="Arial" w:hAnsi="Arial" w:cs="Arial"/>
          <w:bCs/>
          <w:i/>
          <w:iCs/>
          <w:sz w:val="20"/>
          <w:szCs w:val="20"/>
          <w:highlight w:val="yellow"/>
        </w:rPr>
        <w:t>.</w:t>
      </w:r>
      <w:r w:rsidRPr="000D3FE0">
        <w:rPr>
          <w:rFonts w:ascii="Arial" w:hAnsi="Arial" w:cs="Arial"/>
          <w:bCs/>
          <w:i/>
          <w:iCs/>
          <w:sz w:val="20"/>
          <w:szCs w:val="20"/>
        </w:rPr>
        <w:t xml:space="preserve">     </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bCs/>
          <w:color w:val="000000"/>
          <w:sz w:val="20"/>
          <w:szCs w:val="20"/>
        </w:rPr>
        <w:t>Wu,</w:t>
      </w:r>
      <w:r>
        <w:rPr>
          <w:rFonts w:ascii="Arial" w:hAnsi="Arial" w:cs="Arial"/>
          <w:bCs/>
          <w:color w:val="000000"/>
          <w:sz w:val="20"/>
          <w:szCs w:val="20"/>
        </w:rPr>
        <w:t xml:space="preserve"> </w:t>
      </w:r>
      <w:r w:rsidRPr="000D3FE0">
        <w:rPr>
          <w:rFonts w:ascii="Arial" w:hAnsi="Arial" w:cs="Arial"/>
          <w:bCs/>
          <w:color w:val="000000"/>
          <w:sz w:val="20"/>
          <w:szCs w:val="20"/>
        </w:rPr>
        <w:t>Y., Liao, W., Dawuda, M.M., Hu, L., &amp; Yu, J.  (2018). 5-Aminolevulinic acid (ALA) biosynthetic and metabolic pathways and its role in higher plants: a review.</w:t>
      </w:r>
      <w:r>
        <w:rPr>
          <w:rFonts w:ascii="Arial" w:hAnsi="Arial" w:cs="Arial"/>
          <w:bCs/>
          <w:color w:val="000000"/>
          <w:sz w:val="20"/>
          <w:szCs w:val="20"/>
        </w:rPr>
        <w:t xml:space="preserve"> </w:t>
      </w:r>
      <w:r w:rsidRPr="000D3FE0">
        <w:rPr>
          <w:rFonts w:ascii="Arial" w:hAnsi="Arial" w:cs="Arial"/>
          <w:i/>
          <w:color w:val="000000"/>
          <w:sz w:val="20"/>
          <w:szCs w:val="20"/>
        </w:rPr>
        <w:t>Plant</w:t>
      </w:r>
      <w:r>
        <w:rPr>
          <w:rFonts w:ascii="Arial" w:hAnsi="Arial" w:cs="Arial"/>
          <w:i/>
          <w:color w:val="000000"/>
          <w:sz w:val="20"/>
          <w:szCs w:val="20"/>
        </w:rPr>
        <w:t xml:space="preserve"> </w:t>
      </w:r>
      <w:r w:rsidRPr="000D3FE0">
        <w:rPr>
          <w:rFonts w:ascii="Arial" w:hAnsi="Arial" w:cs="Arial"/>
          <w:i/>
          <w:color w:val="000000"/>
          <w:sz w:val="20"/>
          <w:szCs w:val="20"/>
        </w:rPr>
        <w:t>Growth Regulation</w:t>
      </w:r>
      <w:r>
        <w:rPr>
          <w:rFonts w:ascii="Arial" w:hAnsi="Arial" w:cs="Arial"/>
          <w:color w:val="000000"/>
          <w:sz w:val="20"/>
          <w:szCs w:val="20"/>
        </w:rPr>
        <w:t>,</w:t>
      </w:r>
      <w:r w:rsidRPr="000D3FE0">
        <w:rPr>
          <w:rFonts w:ascii="Arial" w:hAnsi="Arial" w:cs="Arial"/>
          <w:color w:val="000000"/>
          <w:sz w:val="20"/>
          <w:szCs w:val="20"/>
        </w:rPr>
        <w:t xml:space="preserve"> published online:</w:t>
      </w:r>
      <w:r>
        <w:rPr>
          <w:rFonts w:ascii="Arial" w:hAnsi="Arial" w:cs="Arial"/>
          <w:color w:val="000000"/>
          <w:sz w:val="20"/>
          <w:szCs w:val="20"/>
        </w:rPr>
        <w:t xml:space="preserve"> </w:t>
      </w:r>
      <w:r w:rsidRPr="000D3FE0">
        <w:rPr>
          <w:rFonts w:ascii="Arial" w:hAnsi="Arial" w:cs="Arial"/>
          <w:color w:val="000000"/>
          <w:sz w:val="20"/>
          <w:szCs w:val="20"/>
        </w:rPr>
        <w:t>17 December 2018.  http://</w:t>
      </w:r>
      <w:r w:rsidRPr="000D3FE0">
        <w:rPr>
          <w:rFonts w:ascii="Arial" w:hAnsi="Arial" w:cs="Arial"/>
          <w:sz w:val="20"/>
          <w:szCs w:val="20"/>
        </w:rPr>
        <w:t>doi.org/</w:t>
      </w:r>
      <w:r w:rsidRPr="00F45582">
        <w:rPr>
          <w:rFonts w:ascii="Arial" w:hAnsi="Arial" w:cs="Arial"/>
          <w:sz w:val="20"/>
          <w:szCs w:val="20"/>
        </w:rPr>
        <w:t>10.1007/s10725-018-0463-8</w:t>
      </w:r>
    </w:p>
    <w:p w:rsidR="004F415E" w:rsidRPr="000D3FE0"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iCs/>
          <w:color w:val="131413"/>
          <w:sz w:val="20"/>
          <w:szCs w:val="20"/>
        </w:rPr>
        <w:t xml:space="preserve">Yaish, M.W.  (2015).  </w:t>
      </w:r>
      <w:r w:rsidRPr="000D3FE0">
        <w:rPr>
          <w:rFonts w:ascii="Arial" w:hAnsi="Arial" w:cs="Arial"/>
          <w:bCs/>
          <w:color w:val="231F20"/>
          <w:sz w:val="20"/>
          <w:szCs w:val="20"/>
        </w:rPr>
        <w:t>Proline accumulation is a general response to abiotic stress in the date palm tree (</w:t>
      </w:r>
      <w:r w:rsidRPr="00575F89">
        <w:rPr>
          <w:rFonts w:ascii="Arial" w:hAnsi="Arial" w:cs="Arial"/>
          <w:bCs/>
          <w:iCs/>
          <w:color w:val="231F20"/>
          <w:sz w:val="20"/>
          <w:szCs w:val="20"/>
        </w:rPr>
        <w:t>Phoenix dactylifera</w:t>
      </w:r>
      <w:r w:rsidRPr="000D3FE0">
        <w:rPr>
          <w:rFonts w:ascii="Arial" w:hAnsi="Arial" w:cs="Arial"/>
          <w:bCs/>
          <w:i/>
          <w:iCs/>
          <w:color w:val="231F20"/>
          <w:sz w:val="20"/>
          <w:szCs w:val="20"/>
        </w:rPr>
        <w:t xml:space="preserve"> </w:t>
      </w:r>
      <w:r w:rsidRPr="000D3FE0">
        <w:rPr>
          <w:rFonts w:ascii="Arial" w:hAnsi="Arial" w:cs="Arial"/>
          <w:bCs/>
          <w:color w:val="231F20"/>
          <w:sz w:val="20"/>
          <w:szCs w:val="20"/>
        </w:rPr>
        <w:t xml:space="preserve">L.).  </w:t>
      </w:r>
      <w:r w:rsidRPr="000D3FE0">
        <w:rPr>
          <w:rFonts w:ascii="Arial" w:hAnsi="Arial" w:cs="Arial"/>
          <w:i/>
          <w:color w:val="231F20"/>
          <w:sz w:val="20"/>
          <w:szCs w:val="20"/>
        </w:rPr>
        <w:t>Genetics and Molecular Research</w:t>
      </w:r>
      <w:r w:rsidRPr="000D3FE0">
        <w:rPr>
          <w:rFonts w:ascii="Arial" w:hAnsi="Arial" w:cs="Arial"/>
          <w:color w:val="231F20"/>
          <w:sz w:val="20"/>
          <w:szCs w:val="20"/>
        </w:rPr>
        <w:t xml:space="preserve">, 14(3), 9943-9950.  </w:t>
      </w:r>
      <w:r w:rsidRPr="00F45582">
        <w:rPr>
          <w:rStyle w:val="Hyperlink"/>
          <w:rFonts w:ascii="Arial" w:hAnsi="Arial" w:cs="Arial"/>
          <w:color w:val="auto"/>
          <w:sz w:val="20"/>
          <w:szCs w:val="20"/>
          <w:u w:val="none"/>
        </w:rPr>
        <w:t>http://dx.doi.org/10.4238/2015</w:t>
      </w:r>
    </w:p>
    <w:p w:rsidR="004F415E" w:rsidRPr="000D3FE0" w:rsidRDefault="004F415E" w:rsidP="004F415E">
      <w:pPr>
        <w:autoSpaceDE w:val="0"/>
        <w:autoSpaceDN w:val="0"/>
        <w:adjustRightInd w:val="0"/>
        <w:spacing w:after="240" w:line="360" w:lineRule="auto"/>
        <w:ind w:left="851" w:hanging="851"/>
        <w:rPr>
          <w:rFonts w:ascii="Arial" w:hAnsi="Arial" w:cs="Arial"/>
          <w:color w:val="231F20"/>
          <w:sz w:val="20"/>
          <w:szCs w:val="20"/>
        </w:rPr>
      </w:pPr>
      <w:r w:rsidRPr="000D3FE0">
        <w:rPr>
          <w:rFonts w:ascii="Arial" w:hAnsi="Arial" w:cs="Arial"/>
          <w:color w:val="231F20"/>
          <w:sz w:val="20"/>
          <w:szCs w:val="20"/>
        </w:rPr>
        <w:t xml:space="preserve">Yang, Z., Chang, Z., Sun, L., Yu, J., &amp; Huang, B.  (2014).  Physiological and metabolic effects of 5-aminolevulinic acid for mitigating salinity stress in creeping bentgrass.  </w:t>
      </w:r>
      <w:r w:rsidRPr="000D3FE0">
        <w:rPr>
          <w:rFonts w:ascii="Arial" w:hAnsi="Arial" w:cs="Arial"/>
          <w:i/>
          <w:color w:val="000000"/>
          <w:sz w:val="20"/>
          <w:szCs w:val="20"/>
        </w:rPr>
        <w:t>PLoS ONE</w:t>
      </w:r>
      <w:r w:rsidRPr="000D3FE0">
        <w:rPr>
          <w:rFonts w:ascii="Arial" w:hAnsi="Arial" w:cs="Arial"/>
          <w:color w:val="000000"/>
          <w:sz w:val="20"/>
          <w:szCs w:val="20"/>
        </w:rPr>
        <w:t xml:space="preserve">, </w:t>
      </w:r>
      <w:r w:rsidRPr="000D3FE0">
        <w:rPr>
          <w:rFonts w:ascii="Arial" w:hAnsi="Arial" w:cs="Arial"/>
          <w:sz w:val="20"/>
          <w:szCs w:val="20"/>
        </w:rPr>
        <w:t>9(12), e116283. http://</w:t>
      </w:r>
      <w:r w:rsidRPr="00F45582">
        <w:rPr>
          <w:rStyle w:val="Hyperlink"/>
          <w:rFonts w:ascii="Arial" w:hAnsi="Arial" w:cs="Arial"/>
          <w:color w:val="auto"/>
          <w:sz w:val="20"/>
          <w:szCs w:val="20"/>
          <w:u w:val="none"/>
        </w:rPr>
        <w:t>doi.org/10.1371/journal.pone.</w:t>
      </w:r>
      <w:r w:rsidRPr="000D3FE0">
        <w:rPr>
          <w:rFonts w:ascii="Arial" w:hAnsi="Arial" w:cs="Arial"/>
          <w:sz w:val="20"/>
          <w:szCs w:val="20"/>
        </w:rPr>
        <w:t>0116283</w:t>
      </w:r>
    </w:p>
    <w:p w:rsidR="004F415E" w:rsidRPr="000D3FE0" w:rsidRDefault="004F415E" w:rsidP="004F415E">
      <w:pPr>
        <w:autoSpaceDE w:val="0"/>
        <w:autoSpaceDN w:val="0"/>
        <w:adjustRightInd w:val="0"/>
        <w:spacing w:after="240" w:line="360" w:lineRule="auto"/>
        <w:ind w:left="851" w:hanging="851"/>
        <w:rPr>
          <w:rFonts w:ascii="Arial" w:hAnsi="Arial" w:cs="Arial"/>
          <w:color w:val="231F20"/>
          <w:sz w:val="20"/>
          <w:szCs w:val="20"/>
        </w:rPr>
      </w:pPr>
      <w:r w:rsidRPr="000D3FE0">
        <w:rPr>
          <w:rFonts w:ascii="Arial" w:hAnsi="Arial" w:cs="Arial"/>
          <w:sz w:val="20"/>
          <w:szCs w:val="20"/>
        </w:rPr>
        <w:t xml:space="preserve">Ye, J. B., Chen, Q. W., Tao, T. T., Wang, G., &amp; Xu, F.  (2016).  </w:t>
      </w:r>
      <w:r w:rsidRPr="000D3FE0">
        <w:rPr>
          <w:rFonts w:ascii="Arial" w:hAnsi="Arial" w:cs="Arial"/>
          <w:bCs/>
          <w:color w:val="231F20"/>
          <w:sz w:val="20"/>
          <w:szCs w:val="20"/>
        </w:rPr>
        <w:t xml:space="preserve">Promotive effects of 5-aminolevulinic acid on growth, photosynthetic gas exchange, chlorophyll, and antioxidative enzymes under salinity stress in </w:t>
      </w:r>
      <w:r w:rsidRPr="000D3FE0">
        <w:rPr>
          <w:rFonts w:ascii="Arial" w:hAnsi="Arial" w:cs="Arial"/>
          <w:bCs/>
          <w:i/>
          <w:color w:val="231F20"/>
          <w:sz w:val="20"/>
          <w:szCs w:val="20"/>
        </w:rPr>
        <w:t>Prunnus persica</w:t>
      </w:r>
      <w:r w:rsidRPr="000D3FE0">
        <w:rPr>
          <w:rFonts w:ascii="Arial" w:hAnsi="Arial" w:cs="Arial"/>
          <w:bCs/>
          <w:color w:val="231F20"/>
          <w:sz w:val="20"/>
          <w:szCs w:val="20"/>
        </w:rPr>
        <w:t xml:space="preserve"> (L.) Batseh seedling.  </w:t>
      </w:r>
      <w:r w:rsidRPr="000D3FE0">
        <w:rPr>
          <w:rFonts w:ascii="Arial" w:hAnsi="Arial" w:cs="Arial"/>
          <w:i/>
          <w:color w:val="231F20"/>
          <w:sz w:val="20"/>
          <w:szCs w:val="20"/>
        </w:rPr>
        <w:t>Emirates Journal of Food Agriculture</w:t>
      </w:r>
      <w:r w:rsidRPr="000D3FE0">
        <w:rPr>
          <w:rFonts w:ascii="Arial" w:hAnsi="Arial" w:cs="Arial"/>
          <w:color w:val="231F20"/>
          <w:sz w:val="20"/>
          <w:szCs w:val="20"/>
        </w:rPr>
        <w:t>, 28(11), 786-795.  http://doi.org/10.9755/ejfa.2016-06-647</w:t>
      </w:r>
    </w:p>
    <w:p w:rsidR="00761F6C" w:rsidRDefault="00761F6C" w:rsidP="004F415E">
      <w:pPr>
        <w:autoSpaceDE w:val="0"/>
        <w:autoSpaceDN w:val="0"/>
        <w:adjustRightInd w:val="0"/>
        <w:spacing w:after="240" w:line="360" w:lineRule="auto"/>
        <w:ind w:left="851" w:hanging="851"/>
        <w:rPr>
          <w:rFonts w:ascii="Arial" w:eastAsia="Times New Roman" w:hAnsi="Arial" w:cs="Arial"/>
          <w:color w:val="333333"/>
          <w:spacing w:val="2"/>
          <w:sz w:val="20"/>
          <w:szCs w:val="20"/>
        </w:rPr>
      </w:pPr>
      <w:r w:rsidRPr="00AB5C16">
        <w:rPr>
          <w:rFonts w:ascii="Arial" w:hAnsi="Arial" w:cs="Arial"/>
          <w:sz w:val="20"/>
          <w:szCs w:val="20"/>
        </w:rPr>
        <w:t xml:space="preserve">Zhang, Z. P., Miao, M. M., &amp; Wang, C. L. (2015).  Effects of ALA on photosynthesis, antioxidant enzyme activity, and gene expression, and regulation of proline accumulation in tomato seedlings under NaCl stress.  </w:t>
      </w:r>
      <w:r w:rsidRPr="00AB5C16">
        <w:rPr>
          <w:rFonts w:ascii="Arial" w:hAnsi="Arial" w:cs="Arial"/>
          <w:i/>
          <w:sz w:val="20"/>
          <w:szCs w:val="20"/>
        </w:rPr>
        <w:t>Journal of Plant Growth Regulator</w:t>
      </w:r>
      <w:r w:rsidRPr="00AB5C16">
        <w:rPr>
          <w:rFonts w:ascii="Arial" w:hAnsi="Arial" w:cs="Arial"/>
          <w:sz w:val="20"/>
          <w:szCs w:val="20"/>
        </w:rPr>
        <w:t xml:space="preserve">, 34, 637–650. </w:t>
      </w:r>
      <w:r w:rsidRPr="00761F6C">
        <w:rPr>
          <w:rFonts w:ascii="Arial" w:eastAsia="Times New Roman" w:hAnsi="Arial" w:cs="Arial"/>
          <w:color w:val="333333"/>
          <w:spacing w:val="2"/>
          <w:sz w:val="20"/>
          <w:szCs w:val="20"/>
        </w:rPr>
        <w:t>https://doi.org/10.1007/s00344-015-9499-4</w:t>
      </w:r>
    </w:p>
    <w:p w:rsidR="004F415E" w:rsidRDefault="004F415E" w:rsidP="004F415E">
      <w:pPr>
        <w:autoSpaceDE w:val="0"/>
        <w:autoSpaceDN w:val="0"/>
        <w:adjustRightInd w:val="0"/>
        <w:spacing w:after="240" w:line="360" w:lineRule="auto"/>
        <w:ind w:left="851" w:hanging="851"/>
        <w:rPr>
          <w:rFonts w:ascii="Arial" w:hAnsi="Arial" w:cs="Arial"/>
          <w:sz w:val="20"/>
          <w:szCs w:val="20"/>
        </w:rPr>
      </w:pPr>
      <w:r w:rsidRPr="000D3FE0">
        <w:rPr>
          <w:rFonts w:ascii="Arial" w:hAnsi="Arial" w:cs="Arial"/>
          <w:color w:val="231F20"/>
          <w:sz w:val="20"/>
          <w:szCs w:val="20"/>
        </w:rPr>
        <w:t xml:space="preserve">Zhu, J., Tremblay, N., &amp; Liang, Y.  2012. Comparing SPAD and </w:t>
      </w:r>
      <w:r>
        <w:rPr>
          <w:rFonts w:ascii="Arial" w:hAnsi="Arial" w:cs="Arial"/>
          <w:color w:val="231F20"/>
          <w:sz w:val="20"/>
          <w:szCs w:val="20"/>
        </w:rPr>
        <w:t>‘</w:t>
      </w:r>
      <w:r w:rsidRPr="000D3FE0">
        <w:rPr>
          <w:rFonts w:ascii="Arial" w:hAnsi="Arial" w:cs="Arial"/>
          <w:color w:val="231F20"/>
          <w:sz w:val="20"/>
          <w:szCs w:val="20"/>
        </w:rPr>
        <w:t>atLEAF</w:t>
      </w:r>
      <w:r>
        <w:rPr>
          <w:rFonts w:ascii="Arial" w:hAnsi="Arial" w:cs="Arial"/>
          <w:color w:val="231F20"/>
          <w:sz w:val="20"/>
          <w:szCs w:val="20"/>
        </w:rPr>
        <w:t>’</w:t>
      </w:r>
      <w:r w:rsidRPr="000D3FE0">
        <w:rPr>
          <w:rFonts w:ascii="Arial" w:hAnsi="Arial" w:cs="Arial"/>
          <w:color w:val="231F20"/>
          <w:sz w:val="20"/>
          <w:szCs w:val="20"/>
        </w:rPr>
        <w:t xml:space="preserve"> values for chlorophyll assessment in crop species.  </w:t>
      </w:r>
      <w:r w:rsidRPr="000D3FE0">
        <w:rPr>
          <w:rFonts w:ascii="Arial" w:hAnsi="Arial" w:cs="Arial"/>
          <w:i/>
          <w:color w:val="231F20"/>
          <w:sz w:val="20"/>
          <w:szCs w:val="20"/>
        </w:rPr>
        <w:t>Canadian Journal of Soil Science</w:t>
      </w:r>
      <w:r w:rsidRPr="000D3FE0">
        <w:rPr>
          <w:rFonts w:ascii="Arial" w:hAnsi="Arial" w:cs="Arial"/>
          <w:color w:val="231F20"/>
          <w:sz w:val="20"/>
          <w:szCs w:val="20"/>
        </w:rPr>
        <w:t xml:space="preserve">, 92, 645-648.  </w:t>
      </w:r>
      <w:r w:rsidRPr="00AB5C16">
        <w:rPr>
          <w:rFonts w:ascii="Arial" w:hAnsi="Arial" w:cs="Arial"/>
          <w:color w:val="231F20"/>
          <w:sz w:val="20"/>
          <w:szCs w:val="20"/>
        </w:rPr>
        <w:t>https://doi.org/10.4141/CJSS2011-100</w:t>
      </w:r>
    </w:p>
    <w:p w:rsidR="004F415E" w:rsidRPr="00A15B14" w:rsidRDefault="004F415E" w:rsidP="00A15B14">
      <w:pPr>
        <w:autoSpaceDE w:val="0"/>
        <w:autoSpaceDN w:val="0"/>
        <w:adjustRightInd w:val="0"/>
        <w:spacing w:after="240" w:line="360" w:lineRule="auto"/>
        <w:ind w:left="851" w:hanging="851"/>
        <w:rPr>
          <w:rFonts w:ascii="Arial" w:hAnsi="Arial" w:cs="Arial"/>
          <w:sz w:val="20"/>
          <w:szCs w:val="20"/>
        </w:rPr>
      </w:pPr>
      <w:r w:rsidRPr="00205A6B">
        <w:rPr>
          <w:rFonts w:ascii="Arial" w:eastAsia="Times New Roman" w:hAnsi="Arial" w:cs="Arial"/>
          <w:sz w:val="20"/>
          <w:szCs w:val="20"/>
          <w:lang w:eastAsia="id-ID"/>
        </w:rPr>
        <w:lastRenderedPageBreak/>
        <w:br w:type="page"/>
      </w:r>
    </w:p>
    <w:p w:rsidR="004F415E" w:rsidRPr="0054223B" w:rsidRDefault="004F415E" w:rsidP="004F415E">
      <w:pPr>
        <w:spacing w:after="120" w:line="240" w:lineRule="auto"/>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 xml:space="preserve">Table 1.   Effects of shallow water table on root length, root fresh weight, and shoot fresh weight </w:t>
      </w:r>
    </w:p>
    <w:tbl>
      <w:tblPr>
        <w:tblW w:w="9089" w:type="dxa"/>
        <w:tblInd w:w="91" w:type="dxa"/>
        <w:tblLook w:val="04A0" w:firstRow="1" w:lastRow="0" w:firstColumn="1" w:lastColumn="0" w:noHBand="0" w:noVBand="1"/>
      </w:tblPr>
      <w:tblGrid>
        <w:gridCol w:w="2557"/>
        <w:gridCol w:w="1429"/>
        <w:gridCol w:w="771"/>
        <w:gridCol w:w="1497"/>
        <w:gridCol w:w="567"/>
        <w:gridCol w:w="1560"/>
        <w:gridCol w:w="708"/>
      </w:tblGrid>
      <w:tr w:rsidR="004F415E" w:rsidRPr="0054223B" w:rsidTr="00C336A8">
        <w:trPr>
          <w:trHeight w:val="315"/>
        </w:trPr>
        <w:tc>
          <w:tcPr>
            <w:tcW w:w="2557" w:type="dxa"/>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Treatment</w:t>
            </w:r>
          </w:p>
        </w:tc>
        <w:tc>
          <w:tcPr>
            <w:tcW w:w="2200" w:type="dxa"/>
            <w:gridSpan w:val="2"/>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Root length (cm)</w:t>
            </w:r>
          </w:p>
        </w:tc>
        <w:tc>
          <w:tcPr>
            <w:tcW w:w="2064" w:type="dxa"/>
            <w:gridSpan w:val="2"/>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Root fresh weight (g)</w:t>
            </w:r>
          </w:p>
        </w:tc>
        <w:tc>
          <w:tcPr>
            <w:tcW w:w="2268" w:type="dxa"/>
            <w:gridSpan w:val="2"/>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Shoot fresh weight (g)</w:t>
            </w:r>
          </w:p>
        </w:tc>
      </w:tr>
      <w:tr w:rsidR="004F415E" w:rsidRPr="0054223B" w:rsidTr="00C336A8">
        <w:trPr>
          <w:trHeight w:val="315"/>
        </w:trPr>
        <w:tc>
          <w:tcPr>
            <w:tcW w:w="2557"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429" w:type="dxa"/>
            <w:tcBorders>
              <w:top w:val="nil"/>
              <w:left w:val="nil"/>
              <w:bottom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33.78±8.55</w:t>
            </w:r>
          </w:p>
        </w:tc>
        <w:tc>
          <w:tcPr>
            <w:tcW w:w="771"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c </w:t>
            </w:r>
            <w:r w:rsidRPr="0054223B">
              <w:rPr>
                <w:rFonts w:ascii="Arial" w:eastAsia="Times New Roman" w:hAnsi="Arial" w:cs="Arial"/>
                <w:sz w:val="18"/>
                <w:szCs w:val="18"/>
                <w:vertAlign w:val="superscript"/>
                <w:lang w:eastAsia="id-ID"/>
              </w:rPr>
              <w:t>z</w:t>
            </w:r>
          </w:p>
        </w:tc>
        <w:tc>
          <w:tcPr>
            <w:tcW w:w="1497" w:type="dxa"/>
            <w:tcBorders>
              <w:top w:val="nil"/>
              <w:left w:val="nil"/>
              <w:bottom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44.82±10.96</w:t>
            </w:r>
          </w:p>
        </w:tc>
        <w:tc>
          <w:tcPr>
            <w:tcW w:w="567"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560" w:type="dxa"/>
            <w:tcBorders>
              <w:top w:val="nil"/>
              <w:left w:val="nil"/>
              <w:bottom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70.99±16.03</w:t>
            </w:r>
          </w:p>
        </w:tc>
        <w:tc>
          <w:tcPr>
            <w:tcW w:w="708"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r>
      <w:tr w:rsidR="004F415E" w:rsidRPr="0054223B" w:rsidTr="00C336A8">
        <w:trPr>
          <w:trHeight w:val="315"/>
        </w:trPr>
        <w:tc>
          <w:tcPr>
            <w:tcW w:w="2557" w:type="dxa"/>
            <w:tcBorders>
              <w:top w:val="nil"/>
              <w:left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429" w:type="dxa"/>
            <w:tcBorders>
              <w:top w:val="nil"/>
              <w:left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48.62±2.32</w:t>
            </w:r>
          </w:p>
        </w:tc>
        <w:tc>
          <w:tcPr>
            <w:tcW w:w="771" w:type="dxa"/>
            <w:tcBorders>
              <w:top w:val="nil"/>
              <w:left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97" w:type="dxa"/>
            <w:tcBorders>
              <w:top w:val="nil"/>
              <w:left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49.69±19.61</w:t>
            </w:r>
          </w:p>
        </w:tc>
        <w:tc>
          <w:tcPr>
            <w:tcW w:w="567" w:type="dxa"/>
            <w:tcBorders>
              <w:top w:val="nil"/>
              <w:left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560" w:type="dxa"/>
            <w:tcBorders>
              <w:top w:val="nil"/>
              <w:left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121.67±14.97</w:t>
            </w:r>
          </w:p>
        </w:tc>
        <w:tc>
          <w:tcPr>
            <w:tcW w:w="708" w:type="dxa"/>
            <w:tcBorders>
              <w:top w:val="nil"/>
              <w:left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r>
      <w:tr w:rsidR="004F415E" w:rsidRPr="0054223B" w:rsidTr="00C336A8">
        <w:trPr>
          <w:trHeight w:val="357"/>
        </w:trPr>
        <w:tc>
          <w:tcPr>
            <w:tcW w:w="2557"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429" w:type="dxa"/>
            <w:tcBorders>
              <w:top w:val="nil"/>
              <w:left w:val="nil"/>
              <w:bottom w:val="single" w:sz="4" w:space="0" w:color="auto"/>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56.44±5.93</w:t>
            </w:r>
          </w:p>
        </w:tc>
        <w:tc>
          <w:tcPr>
            <w:tcW w:w="771"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97" w:type="dxa"/>
            <w:tcBorders>
              <w:top w:val="nil"/>
              <w:left w:val="nil"/>
              <w:bottom w:val="single" w:sz="4" w:space="0" w:color="auto"/>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95.65±12.23</w:t>
            </w:r>
          </w:p>
        </w:tc>
        <w:tc>
          <w:tcPr>
            <w:tcW w:w="567"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560" w:type="dxa"/>
            <w:tcBorders>
              <w:top w:val="nil"/>
              <w:left w:val="nil"/>
              <w:bottom w:val="single" w:sz="4" w:space="0" w:color="auto"/>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157.05±4.15</w:t>
            </w:r>
          </w:p>
        </w:tc>
        <w:tc>
          <w:tcPr>
            <w:tcW w:w="708"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Table 2.  Effects of shallow water table on leaf characteristics in common bean plant</w:t>
      </w:r>
    </w:p>
    <w:tbl>
      <w:tblPr>
        <w:tblW w:w="9089" w:type="dxa"/>
        <w:tblInd w:w="91" w:type="dxa"/>
        <w:tblLayout w:type="fixed"/>
        <w:tblLook w:val="04A0" w:firstRow="1" w:lastRow="0" w:firstColumn="1" w:lastColumn="0" w:noHBand="0" w:noVBand="1"/>
      </w:tblPr>
      <w:tblGrid>
        <w:gridCol w:w="2580"/>
        <w:gridCol w:w="1690"/>
        <w:gridCol w:w="850"/>
        <w:gridCol w:w="1418"/>
        <w:gridCol w:w="709"/>
        <w:gridCol w:w="1842"/>
      </w:tblGrid>
      <w:tr w:rsidR="004F415E" w:rsidRPr="0054223B" w:rsidTr="00C336A8">
        <w:trPr>
          <w:trHeight w:val="315"/>
        </w:trPr>
        <w:tc>
          <w:tcPr>
            <w:tcW w:w="2580" w:type="dxa"/>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Treatment</w:t>
            </w:r>
          </w:p>
        </w:tc>
        <w:tc>
          <w:tcPr>
            <w:tcW w:w="2540" w:type="dxa"/>
            <w:gridSpan w:val="2"/>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TLA (cm</w:t>
            </w:r>
            <w:r w:rsidRPr="0054223B">
              <w:rPr>
                <w:rFonts w:ascii="Arial" w:eastAsia="Times New Roman" w:hAnsi="Arial" w:cs="Arial"/>
                <w:sz w:val="18"/>
                <w:szCs w:val="18"/>
                <w:vertAlign w:val="superscript"/>
                <w:lang w:eastAsia="id-ID"/>
              </w:rPr>
              <w:t>2</w:t>
            </w:r>
            <w:r w:rsidRPr="0054223B">
              <w:rPr>
                <w:rFonts w:ascii="Arial" w:eastAsia="Times New Roman" w:hAnsi="Arial" w:cs="Arial"/>
                <w:sz w:val="18"/>
                <w:szCs w:val="18"/>
                <w:lang w:eastAsia="id-ID"/>
              </w:rPr>
              <w:t>)</w:t>
            </w:r>
          </w:p>
        </w:tc>
        <w:tc>
          <w:tcPr>
            <w:tcW w:w="2127" w:type="dxa"/>
            <w:gridSpan w:val="2"/>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SLA </w:t>
            </w:r>
            <w:r w:rsidRPr="0054223B">
              <w:rPr>
                <w:rFonts w:ascii="Arial" w:eastAsia="Times New Roman" w:hAnsi="Arial" w:cs="Arial"/>
                <w:sz w:val="18"/>
                <w:szCs w:val="18"/>
              </w:rPr>
              <w:t>(cm</w:t>
            </w:r>
            <w:r w:rsidRPr="0054223B">
              <w:rPr>
                <w:rFonts w:ascii="Arial" w:eastAsia="Times New Roman" w:hAnsi="Arial" w:cs="Arial"/>
                <w:sz w:val="18"/>
                <w:szCs w:val="18"/>
                <w:vertAlign w:val="superscript"/>
              </w:rPr>
              <w:t>2</w:t>
            </w:r>
            <w:r w:rsidRPr="0054223B">
              <w:rPr>
                <w:rFonts w:ascii="Arial" w:eastAsia="Times New Roman" w:hAnsi="Arial" w:cs="Arial"/>
                <w:sz w:val="18"/>
                <w:szCs w:val="18"/>
              </w:rPr>
              <w:t>.g</w:t>
            </w:r>
            <w:r w:rsidRPr="0054223B">
              <w:rPr>
                <w:rFonts w:ascii="Arial" w:eastAsia="Times New Roman" w:hAnsi="Arial" w:cs="Arial"/>
                <w:sz w:val="18"/>
                <w:szCs w:val="18"/>
                <w:vertAlign w:val="superscript"/>
              </w:rPr>
              <w:t>-1</w:t>
            </w:r>
            <w:r w:rsidRPr="0054223B">
              <w:rPr>
                <w:rFonts w:ascii="Arial" w:eastAsia="Times New Roman" w:hAnsi="Arial" w:cs="Arial"/>
                <w:sz w:val="18"/>
                <w:szCs w:val="18"/>
              </w:rPr>
              <w:t>)</w:t>
            </w:r>
          </w:p>
        </w:tc>
        <w:tc>
          <w:tcPr>
            <w:tcW w:w="1842" w:type="dxa"/>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LAR (cm</w:t>
            </w:r>
            <w:r w:rsidRPr="0054223B">
              <w:rPr>
                <w:rFonts w:ascii="Arial" w:eastAsia="Times New Roman" w:hAnsi="Arial" w:cs="Arial"/>
                <w:sz w:val="18"/>
                <w:szCs w:val="18"/>
                <w:vertAlign w:val="superscript"/>
                <w:lang w:eastAsia="id-ID"/>
              </w:rPr>
              <w:t>2</w:t>
            </w:r>
            <w:r w:rsidRPr="0054223B">
              <w:rPr>
                <w:rFonts w:ascii="Arial" w:eastAsia="Times New Roman" w:hAnsi="Arial" w:cs="Arial"/>
                <w:sz w:val="18"/>
                <w:szCs w:val="18"/>
                <w:lang w:eastAsia="id-ID"/>
              </w:rPr>
              <w:t>.g</w:t>
            </w:r>
            <w:r w:rsidRPr="0054223B">
              <w:rPr>
                <w:rFonts w:ascii="Arial" w:eastAsia="Times New Roman" w:hAnsi="Arial" w:cs="Arial"/>
                <w:sz w:val="18"/>
                <w:szCs w:val="18"/>
                <w:vertAlign w:val="superscript"/>
                <w:lang w:eastAsia="id-ID"/>
              </w:rPr>
              <w:t>-1</w:t>
            </w:r>
            <w:r w:rsidRPr="0054223B">
              <w:rPr>
                <w:rFonts w:ascii="Arial" w:eastAsia="Times New Roman" w:hAnsi="Arial" w:cs="Arial"/>
                <w:sz w:val="18"/>
                <w:szCs w:val="18"/>
                <w:lang w:eastAsia="id-ID"/>
              </w:rPr>
              <w:t>)</w:t>
            </w:r>
          </w:p>
        </w:tc>
      </w:tr>
      <w:tr w:rsidR="004F415E" w:rsidRPr="0054223B" w:rsidTr="00C336A8">
        <w:trPr>
          <w:trHeight w:val="329"/>
        </w:trPr>
        <w:tc>
          <w:tcPr>
            <w:tcW w:w="2580"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690" w:type="dxa"/>
            <w:tcBorders>
              <w:top w:val="nil"/>
              <w:left w:val="nil"/>
              <w:bottom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1072.59±343.10 </w:t>
            </w:r>
          </w:p>
        </w:tc>
        <w:tc>
          <w:tcPr>
            <w:tcW w:w="850"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c </w:t>
            </w:r>
            <w:r w:rsidRPr="0054223B">
              <w:rPr>
                <w:rFonts w:ascii="Arial" w:eastAsia="Times New Roman" w:hAnsi="Arial" w:cs="Arial"/>
                <w:sz w:val="18"/>
                <w:szCs w:val="18"/>
                <w:vertAlign w:val="superscript"/>
                <w:lang w:eastAsia="id-ID"/>
              </w:rPr>
              <w:t>z</w:t>
            </w:r>
          </w:p>
        </w:tc>
        <w:tc>
          <w:tcPr>
            <w:tcW w:w="1418" w:type="dxa"/>
            <w:tcBorders>
              <w:top w:val="nil"/>
              <w:left w:val="nil"/>
              <w:bottom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  230.40±35.96 </w:t>
            </w:r>
          </w:p>
        </w:tc>
        <w:tc>
          <w:tcPr>
            <w:tcW w:w="709" w:type="dxa"/>
            <w:tcBorders>
              <w:top w:val="nil"/>
              <w:left w:val="nil"/>
              <w:bottom w:val="nil"/>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c>
          <w:tcPr>
            <w:tcW w:w="1842" w:type="dxa"/>
            <w:tcBorders>
              <w:top w:val="nil"/>
              <w:left w:val="nil"/>
              <w:bottom w:val="nil"/>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60.72±17.72</w:t>
            </w:r>
          </w:p>
        </w:tc>
      </w:tr>
      <w:tr w:rsidR="004F415E" w:rsidRPr="0054223B" w:rsidTr="00C336A8">
        <w:trPr>
          <w:trHeight w:val="315"/>
        </w:trPr>
        <w:tc>
          <w:tcPr>
            <w:tcW w:w="2580" w:type="dxa"/>
            <w:tcBorders>
              <w:top w:val="nil"/>
              <w:left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690" w:type="dxa"/>
            <w:tcBorders>
              <w:top w:val="nil"/>
              <w:left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2406.55±756.47 </w:t>
            </w:r>
          </w:p>
        </w:tc>
        <w:tc>
          <w:tcPr>
            <w:tcW w:w="850" w:type="dxa"/>
            <w:tcBorders>
              <w:top w:val="nil"/>
              <w:left w:val="nil"/>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18" w:type="dxa"/>
            <w:tcBorders>
              <w:top w:val="nil"/>
              <w:left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308.63±30.68 </w:t>
            </w:r>
          </w:p>
        </w:tc>
        <w:tc>
          <w:tcPr>
            <w:tcW w:w="709" w:type="dxa"/>
            <w:tcBorders>
              <w:top w:val="nil"/>
              <w:left w:val="nil"/>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842" w:type="dxa"/>
            <w:tcBorders>
              <w:top w:val="nil"/>
              <w:left w:val="nil"/>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91.09±15.24</w:t>
            </w:r>
          </w:p>
        </w:tc>
      </w:tr>
      <w:tr w:rsidR="004F415E" w:rsidRPr="0054223B" w:rsidTr="00C336A8">
        <w:trPr>
          <w:trHeight w:val="315"/>
        </w:trPr>
        <w:tc>
          <w:tcPr>
            <w:tcW w:w="2580"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690" w:type="dxa"/>
            <w:tcBorders>
              <w:top w:val="nil"/>
              <w:left w:val="nil"/>
              <w:bottom w:val="single" w:sz="4" w:space="0" w:color="auto"/>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3666.26±257.79 </w:t>
            </w:r>
          </w:p>
        </w:tc>
        <w:tc>
          <w:tcPr>
            <w:tcW w:w="850"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18" w:type="dxa"/>
            <w:tcBorders>
              <w:top w:val="nil"/>
              <w:left w:val="nil"/>
              <w:bottom w:val="single" w:sz="4" w:space="0" w:color="auto"/>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373.03±14.67 </w:t>
            </w:r>
          </w:p>
        </w:tc>
        <w:tc>
          <w:tcPr>
            <w:tcW w:w="709" w:type="dxa"/>
            <w:tcBorders>
              <w:top w:val="nil"/>
              <w:left w:val="nil"/>
              <w:bottom w:val="single" w:sz="4" w:space="0" w:color="auto"/>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842" w:type="dxa"/>
            <w:tcBorders>
              <w:top w:val="nil"/>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105.91±6.80</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50" w:hanging="850"/>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Table 3. Relative leaf water content measured during and after SWT exposure at variable depths</w:t>
      </w:r>
    </w:p>
    <w:tbl>
      <w:tblPr>
        <w:tblW w:w="9178" w:type="dxa"/>
        <w:tblInd w:w="108" w:type="dxa"/>
        <w:tblLook w:val="04A0" w:firstRow="1" w:lastRow="0" w:firstColumn="1" w:lastColumn="0" w:noHBand="0" w:noVBand="1"/>
      </w:tblPr>
      <w:tblGrid>
        <w:gridCol w:w="2552"/>
        <w:gridCol w:w="1559"/>
        <w:gridCol w:w="851"/>
        <w:gridCol w:w="1417"/>
        <w:gridCol w:w="654"/>
        <w:gridCol w:w="2145"/>
      </w:tblGrid>
      <w:tr w:rsidR="004F415E" w:rsidRPr="0054223B" w:rsidTr="00C336A8">
        <w:trPr>
          <w:trHeight w:val="315"/>
        </w:trPr>
        <w:tc>
          <w:tcPr>
            <w:tcW w:w="2552" w:type="dxa"/>
            <w:vMerge w:val="restart"/>
            <w:tcBorders>
              <w:top w:val="single" w:sz="4" w:space="0" w:color="auto"/>
              <w:left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Depth of water table</w:t>
            </w:r>
          </w:p>
        </w:tc>
        <w:tc>
          <w:tcPr>
            <w:tcW w:w="6626" w:type="dxa"/>
            <w:gridSpan w:val="5"/>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vertAlign w:val="superscript"/>
                <w:lang w:eastAsia="id-ID"/>
              </w:rPr>
            </w:pPr>
            <w:r w:rsidRPr="0054223B">
              <w:rPr>
                <w:rFonts w:ascii="Arial" w:eastAsia="Times New Roman" w:hAnsi="Arial" w:cs="Arial"/>
                <w:sz w:val="18"/>
                <w:szCs w:val="18"/>
                <w:lang w:eastAsia="id-ID"/>
              </w:rPr>
              <w:t xml:space="preserve">Time of measurement </w:t>
            </w:r>
            <w:r w:rsidRPr="0054223B">
              <w:rPr>
                <w:rFonts w:ascii="Arial" w:eastAsia="Times New Roman" w:hAnsi="Arial" w:cs="Arial"/>
                <w:sz w:val="18"/>
                <w:szCs w:val="18"/>
                <w:vertAlign w:val="superscript"/>
                <w:lang w:eastAsia="id-ID"/>
              </w:rPr>
              <w:t>z</w:t>
            </w:r>
          </w:p>
        </w:tc>
      </w:tr>
      <w:tr w:rsidR="004F415E" w:rsidRPr="0054223B" w:rsidTr="00C336A8">
        <w:trPr>
          <w:trHeight w:val="315"/>
        </w:trPr>
        <w:tc>
          <w:tcPr>
            <w:tcW w:w="2552" w:type="dxa"/>
            <w:vMerge/>
            <w:tcBorders>
              <w:left w:val="nil"/>
              <w:bottom w:val="single" w:sz="4" w:space="0" w:color="auto"/>
              <w:right w:val="nil"/>
            </w:tcBorders>
            <w:shd w:val="clear" w:color="auto" w:fill="auto"/>
            <w:noWrap/>
            <w:vAlign w:val="bottom"/>
            <w:hideMark/>
          </w:tcPr>
          <w:p w:rsidR="004F415E" w:rsidRPr="0054223B" w:rsidRDefault="004F415E" w:rsidP="00C336A8">
            <w:pPr>
              <w:spacing w:after="0" w:line="240" w:lineRule="auto"/>
              <w:jc w:val="center"/>
              <w:rPr>
                <w:rFonts w:ascii="Arial" w:eastAsia="Times New Roman" w:hAnsi="Arial" w:cs="Arial"/>
                <w:sz w:val="18"/>
                <w:szCs w:val="18"/>
                <w:lang w:eastAsia="id-ID"/>
              </w:rPr>
            </w:pPr>
          </w:p>
        </w:tc>
        <w:tc>
          <w:tcPr>
            <w:tcW w:w="2410" w:type="dxa"/>
            <w:gridSpan w:val="2"/>
            <w:tcBorders>
              <w:top w:val="single" w:sz="4" w:space="0" w:color="auto"/>
              <w:left w:val="nil"/>
              <w:bottom w:val="single" w:sz="4" w:space="0" w:color="auto"/>
              <w:right w:val="nil"/>
            </w:tcBorders>
            <w:vAlign w:val="center"/>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2071" w:type="dxa"/>
            <w:gridSpan w:val="2"/>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18DoT</w:t>
            </w:r>
          </w:p>
        </w:tc>
        <w:tc>
          <w:tcPr>
            <w:tcW w:w="2145" w:type="dxa"/>
            <w:tcBorders>
              <w:top w:val="single" w:sz="4" w:space="0" w:color="auto"/>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r>
      <w:tr w:rsidR="004F415E" w:rsidRPr="0054223B" w:rsidTr="00C336A8">
        <w:trPr>
          <w:trHeight w:val="315"/>
        </w:trPr>
        <w:tc>
          <w:tcPr>
            <w:tcW w:w="2552"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559" w:type="dxa"/>
            <w:tcBorders>
              <w:top w:val="nil"/>
              <w:left w:val="nil"/>
              <w:bottom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82.61±0.33</w:t>
            </w:r>
          </w:p>
        </w:tc>
        <w:tc>
          <w:tcPr>
            <w:tcW w:w="851" w:type="dxa"/>
            <w:tcBorders>
              <w:top w:val="nil"/>
              <w:left w:val="nil"/>
              <w:bottom w:val="nil"/>
              <w:right w:val="nil"/>
            </w:tcBorders>
            <w:vAlign w:val="center"/>
          </w:tcPr>
          <w:p w:rsidR="004F415E" w:rsidRPr="0054223B" w:rsidRDefault="004F415E" w:rsidP="00C336A8">
            <w:pPr>
              <w:spacing w:after="0" w:line="240" w:lineRule="auto"/>
              <w:rPr>
                <w:rFonts w:ascii="Arial" w:eastAsia="Times New Roman" w:hAnsi="Arial" w:cs="Arial"/>
                <w:sz w:val="18"/>
                <w:szCs w:val="18"/>
                <w:vertAlign w:val="superscript"/>
                <w:lang w:eastAsia="id-ID"/>
              </w:rPr>
            </w:pPr>
            <w:r w:rsidRPr="0054223B">
              <w:rPr>
                <w:rFonts w:ascii="Arial" w:eastAsia="Times New Roman" w:hAnsi="Arial" w:cs="Arial"/>
                <w:sz w:val="18"/>
                <w:szCs w:val="18"/>
                <w:lang w:eastAsia="id-ID"/>
              </w:rPr>
              <w:t xml:space="preserve">a </w:t>
            </w:r>
            <w:r w:rsidRPr="0054223B">
              <w:rPr>
                <w:rFonts w:ascii="Arial" w:eastAsia="Times New Roman" w:hAnsi="Arial" w:cs="Arial"/>
                <w:sz w:val="18"/>
                <w:szCs w:val="18"/>
                <w:vertAlign w:val="superscript"/>
                <w:lang w:eastAsia="id-ID"/>
              </w:rPr>
              <w:t>y</w:t>
            </w:r>
          </w:p>
        </w:tc>
        <w:tc>
          <w:tcPr>
            <w:tcW w:w="1417"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64.62±9.15</w:t>
            </w:r>
          </w:p>
        </w:tc>
        <w:tc>
          <w:tcPr>
            <w:tcW w:w="654" w:type="dxa"/>
            <w:tcBorders>
              <w:top w:val="nil"/>
              <w:left w:val="nil"/>
              <w:bottom w:val="nil"/>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2145" w:type="dxa"/>
            <w:tcBorders>
              <w:top w:val="nil"/>
              <w:left w:val="nil"/>
              <w:bottom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69.14±1.51</w:t>
            </w:r>
          </w:p>
        </w:tc>
      </w:tr>
      <w:tr w:rsidR="004F415E" w:rsidRPr="0054223B" w:rsidTr="00C336A8">
        <w:trPr>
          <w:trHeight w:val="315"/>
        </w:trPr>
        <w:tc>
          <w:tcPr>
            <w:tcW w:w="2552" w:type="dxa"/>
            <w:tcBorders>
              <w:top w:val="nil"/>
              <w:left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559" w:type="dxa"/>
            <w:tcBorders>
              <w:top w:val="nil"/>
              <w:left w:val="nil"/>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81.50±1.62</w:t>
            </w:r>
          </w:p>
        </w:tc>
        <w:tc>
          <w:tcPr>
            <w:tcW w:w="851" w:type="dxa"/>
            <w:tcBorders>
              <w:top w:val="nil"/>
              <w:left w:val="nil"/>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17" w:type="dxa"/>
            <w:tcBorders>
              <w:top w:val="nil"/>
              <w:left w:val="nil"/>
              <w:right w:val="nil"/>
            </w:tcBorders>
            <w:shd w:val="clear" w:color="auto" w:fill="auto"/>
            <w:noWrap/>
            <w:vAlign w:val="center"/>
            <w:hideMark/>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76.01±1.80</w:t>
            </w:r>
          </w:p>
        </w:tc>
        <w:tc>
          <w:tcPr>
            <w:tcW w:w="654" w:type="dxa"/>
            <w:tcBorders>
              <w:top w:val="nil"/>
              <w:left w:val="nil"/>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2145" w:type="dxa"/>
            <w:tcBorders>
              <w:top w:val="nil"/>
              <w:left w:val="nil"/>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70.07±2.57</w:t>
            </w:r>
          </w:p>
        </w:tc>
      </w:tr>
      <w:tr w:rsidR="004F415E" w:rsidRPr="0054223B" w:rsidTr="00C336A8">
        <w:trPr>
          <w:trHeight w:val="315"/>
        </w:trPr>
        <w:tc>
          <w:tcPr>
            <w:tcW w:w="2552"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559" w:type="dxa"/>
            <w:tcBorders>
              <w:top w:val="nil"/>
              <w:left w:val="nil"/>
              <w:bottom w:val="single" w:sz="4" w:space="0" w:color="auto"/>
              <w:right w:val="nil"/>
            </w:tcBorders>
            <w:vAlign w:val="center"/>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77.78±0.83</w:t>
            </w:r>
          </w:p>
        </w:tc>
        <w:tc>
          <w:tcPr>
            <w:tcW w:w="851" w:type="dxa"/>
            <w:tcBorders>
              <w:top w:val="nil"/>
              <w:left w:val="nil"/>
              <w:bottom w:val="single" w:sz="4" w:space="0" w:color="auto"/>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17"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78.65±2.01</w:t>
            </w:r>
          </w:p>
        </w:tc>
        <w:tc>
          <w:tcPr>
            <w:tcW w:w="654" w:type="dxa"/>
            <w:tcBorders>
              <w:top w:val="nil"/>
              <w:left w:val="nil"/>
              <w:bottom w:val="single" w:sz="4" w:space="0" w:color="auto"/>
              <w:right w:val="nil"/>
            </w:tcBorders>
            <w:vAlign w:val="center"/>
          </w:tcPr>
          <w:p w:rsidR="004F415E" w:rsidRPr="0054223B" w:rsidRDefault="004F415E" w:rsidP="00C336A8">
            <w:pPr>
              <w:spacing w:after="0" w:line="240" w:lineRule="auto"/>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2145" w:type="dxa"/>
            <w:tcBorders>
              <w:top w:val="nil"/>
              <w:left w:val="nil"/>
              <w:bottom w:val="single" w:sz="4" w:space="0" w:color="auto"/>
              <w:right w:val="nil"/>
            </w:tcBorders>
            <w:shd w:val="clear" w:color="auto" w:fill="auto"/>
            <w:noWrap/>
            <w:vAlign w:val="center"/>
            <w:hideMark/>
          </w:tcPr>
          <w:p w:rsidR="004F415E" w:rsidRPr="0054223B" w:rsidRDefault="004F415E" w:rsidP="00C336A8">
            <w:pPr>
              <w:spacing w:after="0" w:line="240" w:lineRule="auto"/>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69.97±2.66</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w:t>
      </w:r>
      <w:r w:rsidRPr="0054223B">
        <w:rPr>
          <w:rFonts w:ascii="Arial" w:hAnsi="Arial" w:cs="Arial"/>
          <w:sz w:val="18"/>
          <w:szCs w:val="18"/>
          <w:vertAlign w:val="superscript"/>
        </w:rPr>
        <w:tab/>
      </w:r>
      <w:r w:rsidRPr="0054223B">
        <w:rPr>
          <w:rFonts w:ascii="Arial" w:hAnsi="Arial" w:cs="Arial"/>
          <w:sz w:val="18"/>
          <w:szCs w:val="18"/>
        </w:rPr>
        <w:t>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eastAsia="Times New Roman" w:hAnsi="Arial" w:cs="Arial"/>
          <w:sz w:val="20"/>
          <w:szCs w:val="20"/>
          <w:lang w:eastAsia="id-ID"/>
        </w:rPr>
      </w:pPr>
      <w:r w:rsidRPr="0054223B">
        <w:rPr>
          <w:rFonts w:ascii="Arial" w:eastAsia="Times New Roman" w:hAnsi="Arial" w:cs="Arial"/>
          <w:sz w:val="20"/>
          <w:szCs w:val="20"/>
          <w:lang w:eastAsia="id-ID"/>
        </w:rPr>
        <w:lastRenderedPageBreak/>
        <w:t>Table 4. Proline content and SPAD value measured during and after SWT exposure at variable depths</w:t>
      </w:r>
    </w:p>
    <w:tbl>
      <w:tblPr>
        <w:tblStyle w:val="TableGrid"/>
        <w:tblW w:w="0" w:type="auto"/>
        <w:tblInd w:w="108" w:type="dxa"/>
        <w:tblLook w:val="04A0" w:firstRow="1" w:lastRow="0" w:firstColumn="1" w:lastColumn="0" w:noHBand="0" w:noVBand="1"/>
      </w:tblPr>
      <w:tblGrid>
        <w:gridCol w:w="2410"/>
        <w:gridCol w:w="1418"/>
        <w:gridCol w:w="667"/>
        <w:gridCol w:w="1601"/>
        <w:gridCol w:w="836"/>
        <w:gridCol w:w="1432"/>
        <w:gridCol w:w="814"/>
      </w:tblGrid>
      <w:tr w:rsidR="004F415E" w:rsidRPr="0054223B" w:rsidTr="00C336A8">
        <w:trPr>
          <w:trHeight w:val="337"/>
        </w:trPr>
        <w:tc>
          <w:tcPr>
            <w:tcW w:w="2410" w:type="dxa"/>
            <w:vMerge w:val="restart"/>
            <w:tcBorders>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Depth of water table</w:t>
            </w:r>
          </w:p>
        </w:tc>
        <w:tc>
          <w:tcPr>
            <w:tcW w:w="6768" w:type="dxa"/>
            <w:gridSpan w:val="6"/>
            <w:tcBorders>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Time of measurement </w:t>
            </w:r>
            <w:r w:rsidRPr="0054223B">
              <w:rPr>
                <w:rFonts w:ascii="Arial" w:eastAsia="Times New Roman" w:hAnsi="Arial" w:cs="Arial"/>
                <w:sz w:val="18"/>
                <w:szCs w:val="18"/>
                <w:vertAlign w:val="superscript"/>
                <w:lang w:eastAsia="id-ID"/>
              </w:rPr>
              <w:t>z</w:t>
            </w:r>
          </w:p>
        </w:tc>
      </w:tr>
      <w:tr w:rsidR="004F415E" w:rsidRPr="0054223B" w:rsidTr="00C336A8">
        <w:trPr>
          <w:trHeight w:val="271"/>
        </w:trPr>
        <w:tc>
          <w:tcPr>
            <w:tcW w:w="2410" w:type="dxa"/>
            <w:vMerge/>
            <w:tcBorders>
              <w:left w:val="nil"/>
              <w:bottom w:val="single" w:sz="4" w:space="0" w:color="000000" w:themeColor="text1"/>
              <w:right w:val="nil"/>
            </w:tcBorders>
            <w:vAlign w:val="center"/>
          </w:tcPr>
          <w:p w:rsidR="004F415E" w:rsidRPr="0054223B" w:rsidRDefault="004F415E" w:rsidP="00C336A8">
            <w:pPr>
              <w:jc w:val="center"/>
              <w:rPr>
                <w:rFonts w:ascii="Arial" w:eastAsia="Times New Roman" w:hAnsi="Arial" w:cs="Arial"/>
                <w:sz w:val="18"/>
                <w:szCs w:val="18"/>
                <w:lang w:eastAsia="id-ID"/>
              </w:rPr>
            </w:pPr>
          </w:p>
        </w:tc>
        <w:tc>
          <w:tcPr>
            <w:tcW w:w="2085" w:type="dxa"/>
            <w:gridSpan w:val="2"/>
            <w:tcBorders>
              <w:left w:val="nil"/>
              <w:bottom w:val="single" w:sz="4" w:space="0" w:color="000000" w:themeColor="text1"/>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2437" w:type="dxa"/>
            <w:gridSpan w:val="2"/>
            <w:tcBorders>
              <w:left w:val="nil"/>
              <w:bottom w:val="single" w:sz="4" w:space="0" w:color="000000" w:themeColor="text1"/>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18DoT</w:t>
            </w:r>
          </w:p>
        </w:tc>
        <w:tc>
          <w:tcPr>
            <w:tcW w:w="2246" w:type="dxa"/>
            <w:gridSpan w:val="2"/>
            <w:tcBorders>
              <w:left w:val="nil"/>
              <w:bottom w:val="single" w:sz="4" w:space="0" w:color="000000" w:themeColor="text1"/>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r>
      <w:tr w:rsidR="004F415E" w:rsidRPr="0054223B" w:rsidTr="00C336A8">
        <w:trPr>
          <w:trHeight w:val="328"/>
        </w:trPr>
        <w:tc>
          <w:tcPr>
            <w:tcW w:w="2410" w:type="dxa"/>
            <w:tcBorders>
              <w:left w:val="nil"/>
              <w:bottom w:val="nil"/>
              <w:right w:val="nil"/>
            </w:tcBorders>
            <w:vAlign w:val="center"/>
          </w:tcPr>
          <w:p w:rsidR="004F415E" w:rsidRPr="0054223B" w:rsidRDefault="004F415E" w:rsidP="00C336A8">
            <w:pPr>
              <w:jc w:val="center"/>
              <w:rPr>
                <w:rFonts w:ascii="Arial" w:eastAsia="Times New Roman" w:hAnsi="Arial" w:cs="Arial"/>
                <w:i/>
                <w:sz w:val="18"/>
                <w:szCs w:val="18"/>
                <w:lang w:eastAsia="id-ID"/>
              </w:rPr>
            </w:pPr>
          </w:p>
        </w:tc>
        <w:tc>
          <w:tcPr>
            <w:tcW w:w="6768" w:type="dxa"/>
            <w:gridSpan w:val="6"/>
            <w:tcBorders>
              <w:left w:val="nil"/>
              <w:bottom w:val="nil"/>
              <w:right w:val="nil"/>
            </w:tcBorders>
            <w:vAlign w:val="center"/>
          </w:tcPr>
          <w:p w:rsidR="004F415E" w:rsidRPr="0054223B" w:rsidRDefault="004F415E" w:rsidP="00C336A8">
            <w:pPr>
              <w:jc w:val="center"/>
              <w:rPr>
                <w:rFonts w:ascii="Arial" w:eastAsia="Times New Roman" w:hAnsi="Arial" w:cs="Arial"/>
                <w:i/>
                <w:sz w:val="18"/>
                <w:szCs w:val="18"/>
                <w:lang w:eastAsia="id-ID"/>
              </w:rPr>
            </w:pPr>
            <w:r w:rsidRPr="0054223B">
              <w:rPr>
                <w:rFonts w:ascii="Arial" w:eastAsia="Times New Roman" w:hAnsi="Arial" w:cs="Arial"/>
                <w:i/>
                <w:sz w:val="18"/>
                <w:szCs w:val="18"/>
                <w:lang w:eastAsia="id-ID"/>
              </w:rPr>
              <w:t>Proline Content (µmol.g</w:t>
            </w:r>
            <w:r w:rsidRPr="0054223B">
              <w:rPr>
                <w:rFonts w:ascii="Arial" w:eastAsia="Times New Roman" w:hAnsi="Arial" w:cs="Arial"/>
                <w:i/>
                <w:sz w:val="18"/>
                <w:szCs w:val="18"/>
                <w:vertAlign w:val="superscript"/>
                <w:lang w:eastAsia="id-ID"/>
              </w:rPr>
              <w:t>-1</w:t>
            </w:r>
            <w:r w:rsidRPr="0054223B">
              <w:rPr>
                <w:rFonts w:ascii="Arial" w:eastAsia="Times New Roman" w:hAnsi="Arial" w:cs="Arial"/>
                <w:i/>
                <w:sz w:val="18"/>
                <w:szCs w:val="18"/>
                <w:lang w:eastAsia="id-ID"/>
              </w:rPr>
              <w:t>)</w:t>
            </w:r>
          </w:p>
        </w:tc>
      </w:tr>
      <w:tr w:rsidR="004F415E" w:rsidRPr="0054223B" w:rsidTr="00C336A8">
        <w:trPr>
          <w:trHeight w:val="290"/>
        </w:trPr>
        <w:tc>
          <w:tcPr>
            <w:tcW w:w="2410"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2085" w:type="dxa"/>
            <w:gridSpan w:val="2"/>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 xml:space="preserve">   0.295±0.045 a </w:t>
            </w:r>
            <w:r w:rsidRPr="0054223B">
              <w:rPr>
                <w:rFonts w:ascii="Arial" w:eastAsia="Times New Roman" w:hAnsi="Arial" w:cs="Arial"/>
                <w:sz w:val="18"/>
                <w:szCs w:val="18"/>
                <w:vertAlign w:val="superscript"/>
                <w:lang w:eastAsia="id-ID"/>
              </w:rPr>
              <w:t>y</w:t>
            </w:r>
          </w:p>
        </w:tc>
        <w:tc>
          <w:tcPr>
            <w:tcW w:w="1601"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0.170±0.011</w:t>
            </w:r>
          </w:p>
        </w:tc>
        <w:tc>
          <w:tcPr>
            <w:tcW w:w="836"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c>
          <w:tcPr>
            <w:tcW w:w="1432"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0.256±0.058</w:t>
            </w:r>
          </w:p>
        </w:tc>
        <w:tc>
          <w:tcPr>
            <w:tcW w:w="814"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r>
      <w:tr w:rsidR="004F415E" w:rsidRPr="0054223B" w:rsidTr="00C336A8">
        <w:trPr>
          <w:trHeight w:val="295"/>
        </w:trPr>
        <w:tc>
          <w:tcPr>
            <w:tcW w:w="2410"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2085" w:type="dxa"/>
            <w:gridSpan w:val="2"/>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0.306±0.024 a</w:t>
            </w:r>
          </w:p>
        </w:tc>
        <w:tc>
          <w:tcPr>
            <w:tcW w:w="1601"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0.213±0.019</w:t>
            </w:r>
          </w:p>
        </w:tc>
        <w:tc>
          <w:tcPr>
            <w:tcW w:w="836"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32"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0.230±0.017</w:t>
            </w:r>
          </w:p>
        </w:tc>
        <w:tc>
          <w:tcPr>
            <w:tcW w:w="814"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r>
      <w:tr w:rsidR="004F415E" w:rsidRPr="0054223B" w:rsidTr="00C336A8">
        <w:trPr>
          <w:trHeight w:val="270"/>
        </w:trPr>
        <w:tc>
          <w:tcPr>
            <w:tcW w:w="2410"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2085" w:type="dxa"/>
            <w:gridSpan w:val="2"/>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0.225±0.018 a</w:t>
            </w:r>
          </w:p>
        </w:tc>
        <w:tc>
          <w:tcPr>
            <w:tcW w:w="1601"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0.187±0.015</w:t>
            </w:r>
          </w:p>
        </w:tc>
        <w:tc>
          <w:tcPr>
            <w:tcW w:w="836"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32"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0.316±0.118</w:t>
            </w:r>
          </w:p>
        </w:tc>
        <w:tc>
          <w:tcPr>
            <w:tcW w:w="814"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r>
      <w:tr w:rsidR="004F415E" w:rsidRPr="0054223B" w:rsidTr="00C336A8">
        <w:trPr>
          <w:trHeight w:val="270"/>
        </w:trPr>
        <w:tc>
          <w:tcPr>
            <w:tcW w:w="2410" w:type="dxa"/>
            <w:tcBorders>
              <w:left w:val="nil"/>
              <w:bottom w:val="nil"/>
              <w:right w:val="nil"/>
            </w:tcBorders>
            <w:vAlign w:val="center"/>
          </w:tcPr>
          <w:p w:rsidR="004F415E" w:rsidRPr="0054223B" w:rsidRDefault="004F415E" w:rsidP="00C336A8">
            <w:pPr>
              <w:jc w:val="center"/>
              <w:rPr>
                <w:rFonts w:ascii="Arial" w:eastAsia="Times New Roman" w:hAnsi="Arial" w:cs="Arial"/>
                <w:i/>
                <w:sz w:val="18"/>
                <w:szCs w:val="18"/>
                <w:lang w:eastAsia="id-ID"/>
              </w:rPr>
            </w:pPr>
          </w:p>
        </w:tc>
        <w:tc>
          <w:tcPr>
            <w:tcW w:w="6768" w:type="dxa"/>
            <w:gridSpan w:val="6"/>
            <w:tcBorders>
              <w:left w:val="nil"/>
              <w:bottom w:val="nil"/>
              <w:right w:val="nil"/>
            </w:tcBorders>
            <w:vAlign w:val="center"/>
          </w:tcPr>
          <w:p w:rsidR="004F415E" w:rsidRPr="0054223B" w:rsidRDefault="004F415E" w:rsidP="00C336A8">
            <w:pPr>
              <w:jc w:val="center"/>
              <w:rPr>
                <w:rFonts w:ascii="Arial" w:eastAsia="Times New Roman" w:hAnsi="Arial" w:cs="Arial"/>
                <w:i/>
                <w:sz w:val="18"/>
                <w:szCs w:val="18"/>
                <w:lang w:eastAsia="id-ID"/>
              </w:rPr>
            </w:pPr>
            <w:r w:rsidRPr="0054223B">
              <w:rPr>
                <w:rFonts w:ascii="Arial" w:eastAsia="Times New Roman" w:hAnsi="Arial" w:cs="Arial"/>
                <w:i/>
                <w:sz w:val="18"/>
                <w:szCs w:val="18"/>
                <w:lang w:eastAsia="id-ID"/>
              </w:rPr>
              <w:t>SPAD value</w:t>
            </w:r>
          </w:p>
        </w:tc>
      </w:tr>
      <w:tr w:rsidR="004F415E" w:rsidRPr="0054223B" w:rsidTr="00C336A8">
        <w:trPr>
          <w:trHeight w:val="274"/>
        </w:trPr>
        <w:tc>
          <w:tcPr>
            <w:tcW w:w="2410"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418"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44.63±1.23</w:t>
            </w:r>
          </w:p>
        </w:tc>
        <w:tc>
          <w:tcPr>
            <w:tcW w:w="667"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601"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39.22±0.50</w:t>
            </w:r>
          </w:p>
        </w:tc>
        <w:tc>
          <w:tcPr>
            <w:tcW w:w="836"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432"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34.84±1.78</w:t>
            </w:r>
          </w:p>
        </w:tc>
        <w:tc>
          <w:tcPr>
            <w:tcW w:w="814"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c</w:t>
            </w:r>
          </w:p>
        </w:tc>
      </w:tr>
      <w:tr w:rsidR="004F415E" w:rsidRPr="0054223B" w:rsidTr="00C336A8">
        <w:trPr>
          <w:trHeight w:val="279"/>
        </w:trPr>
        <w:tc>
          <w:tcPr>
            <w:tcW w:w="2410"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418"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44.33±1.89</w:t>
            </w:r>
          </w:p>
        </w:tc>
        <w:tc>
          <w:tcPr>
            <w:tcW w:w="667"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c>
          <w:tcPr>
            <w:tcW w:w="1601"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44.38±1.05</w:t>
            </w:r>
          </w:p>
        </w:tc>
        <w:tc>
          <w:tcPr>
            <w:tcW w:w="836"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32" w:type="dxa"/>
            <w:tcBorders>
              <w:top w:val="nil"/>
              <w:left w:val="nil"/>
              <w:bottom w:val="nil"/>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37.08±0.61</w:t>
            </w:r>
          </w:p>
        </w:tc>
        <w:tc>
          <w:tcPr>
            <w:tcW w:w="814" w:type="dxa"/>
            <w:tcBorders>
              <w:top w:val="nil"/>
              <w:left w:val="nil"/>
              <w:bottom w:val="nil"/>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b</w:t>
            </w:r>
          </w:p>
        </w:tc>
      </w:tr>
      <w:tr w:rsidR="004F415E" w:rsidRPr="0054223B" w:rsidTr="00C336A8">
        <w:trPr>
          <w:trHeight w:val="296"/>
        </w:trPr>
        <w:tc>
          <w:tcPr>
            <w:tcW w:w="2410"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418" w:type="dxa"/>
            <w:tcBorders>
              <w:top w:val="nil"/>
              <w:left w:val="nil"/>
              <w:bottom w:val="single" w:sz="4" w:space="0" w:color="auto"/>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46.38±0.40</w:t>
            </w:r>
          </w:p>
        </w:tc>
        <w:tc>
          <w:tcPr>
            <w:tcW w:w="667" w:type="dxa"/>
            <w:tcBorders>
              <w:top w:val="nil"/>
              <w:left w:val="nil"/>
              <w:bottom w:val="single" w:sz="4" w:space="0" w:color="auto"/>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601" w:type="dxa"/>
            <w:tcBorders>
              <w:top w:val="nil"/>
              <w:left w:val="nil"/>
              <w:bottom w:val="single" w:sz="4" w:space="0" w:color="auto"/>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43.85±0.65</w:t>
            </w:r>
          </w:p>
        </w:tc>
        <w:tc>
          <w:tcPr>
            <w:tcW w:w="836" w:type="dxa"/>
            <w:tcBorders>
              <w:top w:val="nil"/>
              <w:left w:val="nil"/>
              <w:bottom w:val="single" w:sz="4" w:space="0" w:color="auto"/>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c>
          <w:tcPr>
            <w:tcW w:w="1432" w:type="dxa"/>
            <w:tcBorders>
              <w:top w:val="nil"/>
              <w:left w:val="nil"/>
              <w:bottom w:val="single" w:sz="4" w:space="0" w:color="auto"/>
              <w:right w:val="nil"/>
            </w:tcBorders>
            <w:vAlign w:val="center"/>
          </w:tcPr>
          <w:p w:rsidR="004F415E" w:rsidRPr="0054223B" w:rsidRDefault="004F415E" w:rsidP="00C336A8">
            <w:pPr>
              <w:jc w:val="right"/>
              <w:rPr>
                <w:rFonts w:ascii="Arial" w:eastAsia="Times New Roman" w:hAnsi="Arial" w:cs="Arial"/>
                <w:sz w:val="18"/>
                <w:szCs w:val="18"/>
                <w:lang w:eastAsia="id-ID"/>
              </w:rPr>
            </w:pPr>
            <w:r w:rsidRPr="0054223B">
              <w:rPr>
                <w:rFonts w:ascii="Arial" w:eastAsia="Times New Roman" w:hAnsi="Arial" w:cs="Arial"/>
                <w:sz w:val="18"/>
                <w:szCs w:val="18"/>
                <w:lang w:eastAsia="id-ID"/>
              </w:rPr>
              <w:t>39.23±0.58</w:t>
            </w:r>
          </w:p>
        </w:tc>
        <w:tc>
          <w:tcPr>
            <w:tcW w:w="814" w:type="dxa"/>
            <w:tcBorders>
              <w:top w:val="nil"/>
              <w:left w:val="nil"/>
              <w:bottom w:val="single" w:sz="4" w:space="0" w:color="auto"/>
              <w:right w:val="nil"/>
            </w:tcBorders>
            <w:vAlign w:val="center"/>
          </w:tcPr>
          <w:p w:rsidR="004F415E" w:rsidRPr="0054223B" w:rsidRDefault="004F415E" w:rsidP="00C336A8">
            <w:pPr>
              <w:rPr>
                <w:rFonts w:ascii="Arial" w:eastAsia="Times New Roman" w:hAnsi="Arial" w:cs="Arial"/>
                <w:sz w:val="18"/>
                <w:szCs w:val="18"/>
                <w:lang w:eastAsia="id-ID"/>
              </w:rPr>
            </w:pPr>
            <w:r w:rsidRPr="0054223B">
              <w:rPr>
                <w:rFonts w:ascii="Arial" w:eastAsia="Times New Roman" w:hAnsi="Arial" w:cs="Arial"/>
                <w:sz w:val="18"/>
                <w:szCs w:val="18"/>
                <w:lang w:eastAsia="id-ID"/>
              </w:rPr>
              <w:t>a</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w:t>
      </w:r>
      <w:r w:rsidRPr="0054223B">
        <w:rPr>
          <w:rFonts w:ascii="Arial" w:hAnsi="Arial" w:cs="Arial"/>
          <w:sz w:val="18"/>
          <w:szCs w:val="18"/>
          <w:vertAlign w:val="superscript"/>
        </w:rPr>
        <w:tab/>
      </w:r>
      <w:r w:rsidRPr="0054223B">
        <w:rPr>
          <w:rFonts w:ascii="Arial" w:hAnsi="Arial" w:cs="Arial"/>
          <w:sz w:val="18"/>
          <w:szCs w:val="18"/>
        </w:rPr>
        <w:t>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Means followed by the same letter within each column are not significantly different based on the LSD test at p </w:t>
      </w:r>
      <w:r w:rsidRPr="0054223B">
        <w:rPr>
          <w:rFonts w:ascii="Arial" w:hAnsi="Arial" w:cs="Arial"/>
          <w:sz w:val="18"/>
          <w:szCs w:val="18"/>
          <w:u w:val="single"/>
        </w:rPr>
        <w:t>&lt;</w:t>
      </w:r>
      <w:r w:rsidRPr="0054223B">
        <w:rPr>
          <w:rFonts w:ascii="Arial" w:hAnsi="Arial" w:cs="Arial"/>
          <w:sz w:val="18"/>
          <w:szCs w:val="18"/>
        </w:rPr>
        <w:t xml:space="preserve"> 0.05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50" w:hanging="850"/>
        <w:rPr>
          <w:rFonts w:ascii="Arial" w:hAnsi="Arial" w:cs="Arial"/>
          <w:sz w:val="20"/>
          <w:szCs w:val="20"/>
        </w:rPr>
      </w:pPr>
      <w:r w:rsidRPr="0054223B">
        <w:rPr>
          <w:rFonts w:ascii="Arial" w:hAnsi="Arial" w:cs="Arial"/>
          <w:sz w:val="20"/>
          <w:szCs w:val="20"/>
        </w:rPr>
        <w:lastRenderedPageBreak/>
        <w:t>Table 5.  Pairwise comparison for evaluating effect of SWT exposure on root length, root fresh weight, and shoot fresh weight;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130"/>
        <w:gridCol w:w="996"/>
        <w:gridCol w:w="851"/>
        <w:gridCol w:w="1134"/>
        <w:gridCol w:w="850"/>
        <w:gridCol w:w="1134"/>
        <w:gridCol w:w="851"/>
        <w:gridCol w:w="992"/>
        <w:gridCol w:w="992"/>
      </w:tblGrid>
      <w:tr w:rsidR="004F415E" w:rsidRPr="0054223B" w:rsidTr="00C336A8">
        <w:tc>
          <w:tcPr>
            <w:tcW w:w="1130"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Depth of SWT</w:t>
            </w:r>
          </w:p>
        </w:tc>
        <w:tc>
          <w:tcPr>
            <w:tcW w:w="1847" w:type="dxa"/>
            <w:gridSpan w:val="2"/>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Control vs Exposure to SWT</w:t>
            </w:r>
          </w:p>
        </w:tc>
        <w:tc>
          <w:tcPr>
            <w:tcW w:w="5953" w:type="dxa"/>
            <w:gridSpan w:val="6"/>
            <w:tcBorders>
              <w:left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z</w:t>
            </w:r>
          </w:p>
        </w:tc>
      </w:tr>
      <w:tr w:rsidR="004F415E" w:rsidRPr="0054223B" w:rsidTr="00C336A8">
        <w:tc>
          <w:tcPr>
            <w:tcW w:w="1130"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847" w:type="dxa"/>
            <w:gridSpan w:val="2"/>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984"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985"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984"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36A8">
        <w:tc>
          <w:tcPr>
            <w:tcW w:w="8930" w:type="dxa"/>
            <w:gridSpan w:val="9"/>
            <w:tcBorders>
              <w:left w:val="nil"/>
              <w:bottom w:val="nil"/>
              <w:right w:val="nil"/>
            </w:tcBorders>
          </w:tcPr>
          <w:p w:rsidR="004F415E" w:rsidRPr="0054223B" w:rsidRDefault="004F415E" w:rsidP="00C336A8">
            <w:pPr>
              <w:jc w:val="center"/>
              <w:rPr>
                <w:rFonts w:ascii="Arial" w:hAnsi="Arial" w:cs="Arial"/>
                <w:i/>
                <w:sz w:val="18"/>
                <w:szCs w:val="18"/>
              </w:rPr>
            </w:pPr>
            <w:r w:rsidRPr="0054223B">
              <w:rPr>
                <w:rFonts w:ascii="Arial" w:hAnsi="Arial" w:cs="Arial"/>
                <w:i/>
                <w:sz w:val="18"/>
                <w:szCs w:val="18"/>
              </w:rPr>
              <w:t>Root Length (cm)</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9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 xml:space="preserve">-40.6 </w:t>
            </w:r>
            <w:r w:rsidRPr="0054223B">
              <w:rPr>
                <w:rFonts w:ascii="Arial" w:hAnsi="Arial" w:cs="Arial"/>
                <w:sz w:val="18"/>
                <w:szCs w:val="18"/>
                <w:vertAlign w:val="superscript"/>
              </w:rPr>
              <w:t>y</w:t>
            </w:r>
          </w:p>
        </w:tc>
        <w:tc>
          <w:tcPr>
            <w:tcW w:w="85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17.7</w:t>
            </w:r>
          </w:p>
        </w:tc>
        <w:tc>
          <w:tcPr>
            <w:tcW w:w="8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0.7</w:t>
            </w:r>
          </w:p>
        </w:tc>
        <w:tc>
          <w:tcPr>
            <w:tcW w:w="85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7.5</w:t>
            </w:r>
          </w:p>
        </w:tc>
        <w:tc>
          <w:tcPr>
            <w:tcW w:w="992"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9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-29.8</w:t>
            </w:r>
          </w:p>
        </w:tc>
        <w:tc>
          <w:tcPr>
            <w:tcW w:w="85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14.8</w:t>
            </w:r>
          </w:p>
        </w:tc>
        <w:tc>
          <w:tcPr>
            <w:tcW w:w="8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10.2</w:t>
            </w:r>
          </w:p>
        </w:tc>
        <w:tc>
          <w:tcPr>
            <w:tcW w:w="85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13.2</w:t>
            </w:r>
          </w:p>
        </w:tc>
        <w:tc>
          <w:tcPr>
            <w:tcW w:w="992"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single" w:sz="4" w:space="0" w:color="auto"/>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96"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-4.3</w:t>
            </w:r>
          </w:p>
        </w:tc>
        <w:tc>
          <w:tcPr>
            <w:tcW w:w="85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-2.5</w:t>
            </w:r>
          </w:p>
        </w:tc>
        <w:tc>
          <w:tcPr>
            <w:tcW w:w="850"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-11.8</w:t>
            </w:r>
          </w:p>
        </w:tc>
        <w:tc>
          <w:tcPr>
            <w:tcW w:w="85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-0.8</w:t>
            </w:r>
          </w:p>
        </w:tc>
        <w:tc>
          <w:tcPr>
            <w:tcW w:w="992"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8930" w:type="dxa"/>
            <w:gridSpan w:val="9"/>
            <w:tcBorders>
              <w:left w:val="nil"/>
              <w:bottom w:val="nil"/>
              <w:right w:val="nil"/>
            </w:tcBorders>
          </w:tcPr>
          <w:p w:rsidR="004F415E" w:rsidRPr="0054223B" w:rsidRDefault="004F415E" w:rsidP="00C336A8">
            <w:pPr>
              <w:jc w:val="center"/>
              <w:rPr>
                <w:rFonts w:ascii="Arial" w:hAnsi="Arial" w:cs="Arial"/>
                <w:i/>
                <w:sz w:val="18"/>
                <w:szCs w:val="18"/>
              </w:rPr>
            </w:pPr>
            <w:r w:rsidRPr="0054223B">
              <w:rPr>
                <w:rFonts w:ascii="Arial" w:hAnsi="Arial" w:cs="Arial"/>
                <w:i/>
                <w:sz w:val="18"/>
                <w:szCs w:val="18"/>
              </w:rPr>
              <w:t>Root Fresh Weight (g)</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9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-23.1</w:t>
            </w:r>
          </w:p>
        </w:tc>
        <w:tc>
          <w:tcPr>
            <w:tcW w:w="85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29.0</w:t>
            </w:r>
          </w:p>
        </w:tc>
        <w:tc>
          <w:tcPr>
            <w:tcW w:w="8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7.3</w:t>
            </w:r>
          </w:p>
        </w:tc>
        <w:tc>
          <w:tcPr>
            <w:tcW w:w="85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20.8</w:t>
            </w:r>
          </w:p>
        </w:tc>
        <w:tc>
          <w:tcPr>
            <w:tcW w:w="992"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9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-25.4</w:t>
            </w:r>
          </w:p>
        </w:tc>
        <w:tc>
          <w:tcPr>
            <w:tcW w:w="85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41.7</w:t>
            </w:r>
          </w:p>
        </w:tc>
        <w:tc>
          <w:tcPr>
            <w:tcW w:w="8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4.1</w:t>
            </w:r>
          </w:p>
        </w:tc>
        <w:tc>
          <w:tcPr>
            <w:tcW w:w="85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32.7</w:t>
            </w:r>
          </w:p>
        </w:tc>
        <w:tc>
          <w:tcPr>
            <w:tcW w:w="992"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r w:rsidR="004F415E" w:rsidRPr="0054223B" w:rsidTr="00C336A8">
        <w:tc>
          <w:tcPr>
            <w:tcW w:w="1130" w:type="dxa"/>
            <w:tcBorders>
              <w:top w:val="nil"/>
              <w:left w:val="nil"/>
              <w:bottom w:val="single" w:sz="4" w:space="0" w:color="auto"/>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96"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35.2</w:t>
            </w:r>
          </w:p>
        </w:tc>
        <w:tc>
          <w:tcPr>
            <w:tcW w:w="851"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25.2</w:t>
            </w:r>
          </w:p>
        </w:tc>
        <w:tc>
          <w:tcPr>
            <w:tcW w:w="850"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1.6</w:t>
            </w:r>
          </w:p>
        </w:tc>
        <w:tc>
          <w:tcPr>
            <w:tcW w:w="85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7.7</w:t>
            </w:r>
          </w:p>
        </w:tc>
        <w:tc>
          <w:tcPr>
            <w:tcW w:w="992"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8930" w:type="dxa"/>
            <w:gridSpan w:val="9"/>
            <w:tcBorders>
              <w:left w:val="nil"/>
              <w:bottom w:val="nil"/>
              <w:right w:val="nil"/>
            </w:tcBorders>
          </w:tcPr>
          <w:p w:rsidR="004F415E" w:rsidRPr="0054223B" w:rsidRDefault="004F415E" w:rsidP="00C336A8">
            <w:pPr>
              <w:jc w:val="center"/>
              <w:rPr>
                <w:rFonts w:ascii="Arial" w:hAnsi="Arial" w:cs="Arial"/>
                <w:i/>
                <w:sz w:val="18"/>
                <w:szCs w:val="18"/>
              </w:rPr>
            </w:pPr>
            <w:r w:rsidRPr="0054223B">
              <w:rPr>
                <w:rFonts w:ascii="Arial" w:hAnsi="Arial" w:cs="Arial"/>
                <w:i/>
                <w:sz w:val="18"/>
                <w:szCs w:val="18"/>
              </w:rPr>
              <w:t>Shoot Fresh Weight (g)</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9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-61.8</w:t>
            </w:r>
          </w:p>
        </w:tc>
        <w:tc>
          <w:tcPr>
            <w:tcW w:w="85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7.1</w:t>
            </w:r>
          </w:p>
        </w:tc>
        <w:tc>
          <w:tcPr>
            <w:tcW w:w="850"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-20.1</w:t>
            </w:r>
          </w:p>
        </w:tc>
        <w:tc>
          <w:tcPr>
            <w:tcW w:w="85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8.1</w:t>
            </w:r>
          </w:p>
        </w:tc>
        <w:tc>
          <w:tcPr>
            <w:tcW w:w="992"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9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-25.7</w:t>
            </w:r>
          </w:p>
        </w:tc>
        <w:tc>
          <w:tcPr>
            <w:tcW w:w="85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30.0</w:t>
            </w:r>
          </w:p>
        </w:tc>
        <w:tc>
          <w:tcPr>
            <w:tcW w:w="8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2.0</w:t>
            </w:r>
          </w:p>
        </w:tc>
        <w:tc>
          <w:tcPr>
            <w:tcW w:w="85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6.9</w:t>
            </w:r>
          </w:p>
        </w:tc>
        <w:tc>
          <w:tcPr>
            <w:tcW w:w="992"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96" w:type="dxa"/>
            <w:tcBorders>
              <w:top w:val="nil"/>
              <w:left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-1.6</w:t>
            </w:r>
          </w:p>
        </w:tc>
        <w:tc>
          <w:tcPr>
            <w:tcW w:w="851" w:type="dxa"/>
            <w:tcBorders>
              <w:top w:val="nil"/>
              <w:left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25.7</w:t>
            </w:r>
          </w:p>
        </w:tc>
        <w:tc>
          <w:tcPr>
            <w:tcW w:w="850" w:type="dxa"/>
            <w:tcBorders>
              <w:top w:val="nil"/>
              <w:left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19.5</w:t>
            </w:r>
          </w:p>
        </w:tc>
        <w:tc>
          <w:tcPr>
            <w:tcW w:w="851" w:type="dxa"/>
            <w:tcBorders>
              <w:top w:val="nil"/>
              <w:left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27.3</w:t>
            </w:r>
          </w:p>
        </w:tc>
        <w:tc>
          <w:tcPr>
            <w:tcW w:w="992" w:type="dxa"/>
            <w:tcBorders>
              <w:top w:val="nil"/>
              <w:left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bl>
    <w:p w:rsidR="004F415E" w:rsidRPr="0054223B" w:rsidRDefault="004F415E" w:rsidP="004F415E">
      <w:pPr>
        <w:spacing w:before="80" w:after="0" w:line="240" w:lineRule="auto"/>
        <w:ind w:left="180" w:hanging="176"/>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rPr>
        <w:t xml:space="preserve"> </w:t>
      </w:r>
      <w:r w:rsidRPr="0054223B">
        <w:rPr>
          <w:rFonts w:ascii="Arial" w:hAnsi="Arial" w:cs="Arial"/>
          <w:sz w:val="18"/>
          <w:szCs w:val="18"/>
        </w:rPr>
        <w:tab/>
        <w:t>T</w:t>
      </w:r>
      <w:r w:rsidRPr="0054223B">
        <w:rPr>
          <w:rFonts w:ascii="Arial" w:hAnsi="Arial" w:cs="Arial"/>
          <w:sz w:val="18"/>
          <w:szCs w:val="18"/>
          <w:vertAlign w:val="subscript"/>
        </w:rPr>
        <w:t>14</w:t>
      </w:r>
      <w:r w:rsidRPr="0054223B">
        <w:rPr>
          <w:rFonts w:ascii="Arial" w:hAnsi="Arial" w:cs="Arial"/>
          <w:sz w:val="18"/>
          <w:szCs w:val="18"/>
        </w:rPr>
        <w:t xml:space="preserve"> = ALA application at 4 days prior to SWT exposure (at 14 DAP), T</w:t>
      </w:r>
      <w:r w:rsidRPr="0054223B">
        <w:rPr>
          <w:rFonts w:ascii="Arial" w:hAnsi="Arial" w:cs="Arial"/>
          <w:sz w:val="18"/>
          <w:szCs w:val="18"/>
          <w:vertAlign w:val="subscript"/>
        </w:rPr>
        <w:t>28</w:t>
      </w:r>
      <w:r w:rsidRPr="0054223B">
        <w:rPr>
          <w:rFonts w:ascii="Arial" w:hAnsi="Arial" w:cs="Arial"/>
          <w:sz w:val="18"/>
          <w:szCs w:val="18"/>
        </w:rPr>
        <w:t>= ALA application at midpoint during the SWT exposure priod (at 28 DAP) , T</w:t>
      </w:r>
      <w:r w:rsidRPr="0054223B">
        <w:rPr>
          <w:rFonts w:ascii="Arial" w:hAnsi="Arial" w:cs="Arial"/>
          <w:sz w:val="18"/>
          <w:szCs w:val="18"/>
          <w:vertAlign w:val="subscript"/>
        </w:rPr>
        <w:t>38</w:t>
      </w:r>
      <w:r w:rsidRPr="0054223B">
        <w:rPr>
          <w:rFonts w:ascii="Arial" w:hAnsi="Arial" w:cs="Arial"/>
          <w:sz w:val="18"/>
          <w:szCs w:val="18"/>
        </w:rPr>
        <w:t>= ALA application at time of SWT exposure was terminated (at 38 DAP).</w:t>
      </w:r>
    </w:p>
    <w:p w:rsidR="004F415E" w:rsidRPr="0054223B" w:rsidRDefault="004F415E" w:rsidP="004F415E">
      <w:pPr>
        <w:spacing w:before="80" w:after="0" w:line="240" w:lineRule="auto"/>
        <w:ind w:left="180" w:hanging="176"/>
        <w:rPr>
          <w:rFonts w:ascii="Arial" w:hAnsi="Arial" w:cs="Arial"/>
          <w:sz w:val="18"/>
          <w:szCs w:val="18"/>
        </w:rPr>
      </w:pPr>
      <w:r w:rsidRPr="0054223B">
        <w:rPr>
          <w:rFonts w:ascii="Arial" w:hAnsi="Arial" w:cs="Arial"/>
          <w:sz w:val="18"/>
          <w:szCs w:val="18"/>
          <w:vertAlign w:val="superscript"/>
        </w:rPr>
        <w:t xml:space="preserve">y)  </w:t>
      </w:r>
      <w:r w:rsidRPr="0054223B">
        <w:rPr>
          <w:rFonts w:ascii="Arial" w:hAnsi="Arial" w:cs="Arial"/>
          <w:sz w:val="18"/>
          <w:szCs w:val="18"/>
        </w:rPr>
        <w:t>Value of comparison and result of t-Test for paired sample at level 0.05; ns = no significant different, * = significantly different.</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50" w:hanging="850"/>
        <w:rPr>
          <w:rFonts w:ascii="Arial" w:hAnsi="Arial" w:cs="Arial"/>
          <w:sz w:val="20"/>
          <w:szCs w:val="20"/>
        </w:rPr>
      </w:pPr>
      <w:r w:rsidRPr="0054223B">
        <w:rPr>
          <w:rFonts w:ascii="Arial" w:hAnsi="Arial" w:cs="Arial"/>
          <w:sz w:val="20"/>
          <w:szCs w:val="20"/>
        </w:rPr>
        <w:lastRenderedPageBreak/>
        <w:t>Table 6.  Pairwise comparison for evaluating effect of SWT exposure on total leaf area, specific leaf area, and leaf area ratio;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130"/>
        <w:gridCol w:w="1138"/>
        <w:gridCol w:w="709"/>
        <w:gridCol w:w="1134"/>
        <w:gridCol w:w="850"/>
        <w:gridCol w:w="1134"/>
        <w:gridCol w:w="851"/>
        <w:gridCol w:w="992"/>
        <w:gridCol w:w="992"/>
      </w:tblGrid>
      <w:tr w:rsidR="004F415E" w:rsidRPr="0054223B" w:rsidTr="00C336A8">
        <w:trPr>
          <w:trHeight w:val="143"/>
        </w:trPr>
        <w:tc>
          <w:tcPr>
            <w:tcW w:w="1130"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Depth of SWT</w:t>
            </w:r>
          </w:p>
        </w:tc>
        <w:tc>
          <w:tcPr>
            <w:tcW w:w="1847" w:type="dxa"/>
            <w:gridSpan w:val="2"/>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Control vs Exposure to SWT</w:t>
            </w:r>
          </w:p>
        </w:tc>
        <w:tc>
          <w:tcPr>
            <w:tcW w:w="5953" w:type="dxa"/>
            <w:gridSpan w:val="6"/>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z</w:t>
            </w:r>
          </w:p>
        </w:tc>
      </w:tr>
      <w:tr w:rsidR="004F415E" w:rsidRPr="0054223B" w:rsidTr="00C336A8">
        <w:tc>
          <w:tcPr>
            <w:tcW w:w="1130" w:type="dxa"/>
            <w:vMerge/>
            <w:tcBorders>
              <w:left w:val="nil"/>
              <w:bottom w:val="single" w:sz="4" w:space="0" w:color="auto"/>
              <w:right w:val="nil"/>
            </w:tcBorders>
            <w:vAlign w:val="center"/>
          </w:tcPr>
          <w:p w:rsidR="004F415E" w:rsidRPr="0054223B" w:rsidRDefault="004F415E" w:rsidP="00C336A8">
            <w:pPr>
              <w:jc w:val="center"/>
              <w:rPr>
                <w:rFonts w:ascii="Arial" w:hAnsi="Arial" w:cs="Arial"/>
                <w:sz w:val="18"/>
                <w:szCs w:val="18"/>
              </w:rPr>
            </w:pPr>
          </w:p>
        </w:tc>
        <w:tc>
          <w:tcPr>
            <w:tcW w:w="1847" w:type="dxa"/>
            <w:gridSpan w:val="2"/>
            <w:vMerge/>
            <w:tcBorders>
              <w:left w:val="nil"/>
              <w:bottom w:val="single" w:sz="4" w:space="0" w:color="auto"/>
              <w:right w:val="nil"/>
            </w:tcBorders>
            <w:vAlign w:val="center"/>
          </w:tcPr>
          <w:p w:rsidR="004F415E" w:rsidRPr="0054223B" w:rsidRDefault="004F415E" w:rsidP="00C336A8">
            <w:pPr>
              <w:jc w:val="center"/>
              <w:rPr>
                <w:rFonts w:ascii="Arial" w:hAnsi="Arial" w:cs="Arial"/>
                <w:sz w:val="18"/>
                <w:szCs w:val="18"/>
              </w:rPr>
            </w:pPr>
          </w:p>
        </w:tc>
        <w:tc>
          <w:tcPr>
            <w:tcW w:w="1984" w:type="dxa"/>
            <w:gridSpan w:val="2"/>
            <w:tcBorders>
              <w:left w:val="nil"/>
              <w:bottom w:val="single" w:sz="4" w:space="0" w:color="auto"/>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985" w:type="dxa"/>
            <w:gridSpan w:val="2"/>
            <w:tcBorders>
              <w:left w:val="nil"/>
              <w:bottom w:val="single" w:sz="4" w:space="0" w:color="auto"/>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984" w:type="dxa"/>
            <w:gridSpan w:val="2"/>
            <w:tcBorders>
              <w:left w:val="nil"/>
              <w:bottom w:val="single" w:sz="4" w:space="0" w:color="auto"/>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36A8">
        <w:tc>
          <w:tcPr>
            <w:tcW w:w="8930" w:type="dxa"/>
            <w:gridSpan w:val="9"/>
            <w:tcBorders>
              <w:left w:val="nil"/>
              <w:bottom w:val="nil"/>
              <w:right w:val="nil"/>
            </w:tcBorders>
            <w:vAlign w:val="center"/>
          </w:tcPr>
          <w:p w:rsidR="004F415E" w:rsidRPr="0054223B" w:rsidRDefault="004F415E" w:rsidP="00C336A8">
            <w:pPr>
              <w:jc w:val="center"/>
              <w:rPr>
                <w:rFonts w:ascii="Arial" w:hAnsi="Arial" w:cs="Arial"/>
                <w:i/>
                <w:sz w:val="18"/>
                <w:szCs w:val="18"/>
              </w:rPr>
            </w:pPr>
            <w:r w:rsidRPr="0054223B">
              <w:rPr>
                <w:rFonts w:ascii="Arial" w:hAnsi="Arial" w:cs="Arial"/>
                <w:i/>
                <w:sz w:val="18"/>
                <w:szCs w:val="18"/>
              </w:rPr>
              <w:t>Total Leaf Area (dm</w:t>
            </w:r>
            <w:r w:rsidRPr="0054223B">
              <w:rPr>
                <w:rFonts w:ascii="Arial" w:hAnsi="Arial" w:cs="Arial"/>
                <w:i/>
                <w:sz w:val="18"/>
                <w:szCs w:val="18"/>
                <w:vertAlign w:val="superscript"/>
              </w:rPr>
              <w:t>2</w:t>
            </w:r>
            <w:r w:rsidRPr="0054223B">
              <w:rPr>
                <w:rFonts w:ascii="Arial" w:hAnsi="Arial" w:cs="Arial"/>
                <w:i/>
                <w:sz w:val="18"/>
                <w:szCs w:val="18"/>
              </w:rPr>
              <w:t>)</w:t>
            </w:r>
          </w:p>
        </w:tc>
      </w:tr>
      <w:tr w:rsidR="004F415E" w:rsidRPr="0054223B" w:rsidTr="00C336A8">
        <w:trPr>
          <w:trHeight w:val="126"/>
        </w:trPr>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138"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 xml:space="preserve">-23.98 </w:t>
            </w:r>
            <w:r w:rsidRPr="0054223B">
              <w:rPr>
                <w:rFonts w:ascii="Arial" w:hAnsi="Arial" w:cs="Arial"/>
                <w:sz w:val="18"/>
                <w:szCs w:val="18"/>
                <w:vertAlign w:val="superscript"/>
              </w:rPr>
              <w:t>y</w:t>
            </w:r>
          </w:p>
        </w:tc>
        <w:tc>
          <w:tcPr>
            <w:tcW w:w="709"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6.69</w:t>
            </w:r>
          </w:p>
        </w:tc>
        <w:tc>
          <w:tcPr>
            <w:tcW w:w="850"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-0.06</w:t>
            </w:r>
          </w:p>
        </w:tc>
        <w:tc>
          <w:tcPr>
            <w:tcW w:w="851"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4.40</w:t>
            </w:r>
          </w:p>
        </w:tc>
        <w:tc>
          <w:tcPr>
            <w:tcW w:w="992"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138"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-20.01</w:t>
            </w:r>
          </w:p>
        </w:tc>
        <w:tc>
          <w:tcPr>
            <w:tcW w:w="709"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20.18</w:t>
            </w:r>
          </w:p>
        </w:tc>
        <w:tc>
          <w:tcPr>
            <w:tcW w:w="850"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5.12</w:t>
            </w:r>
          </w:p>
        </w:tc>
        <w:tc>
          <w:tcPr>
            <w:tcW w:w="851"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13.86</w:t>
            </w:r>
          </w:p>
        </w:tc>
        <w:tc>
          <w:tcPr>
            <w:tcW w:w="992"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r w:rsidR="004F415E" w:rsidRPr="0054223B" w:rsidTr="00C336A8">
        <w:tc>
          <w:tcPr>
            <w:tcW w:w="1130" w:type="dxa"/>
            <w:tcBorders>
              <w:top w:val="nil"/>
              <w:left w:val="nil"/>
              <w:bottom w:val="single" w:sz="4" w:space="0" w:color="auto"/>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138"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-5.11</w:t>
            </w:r>
          </w:p>
        </w:tc>
        <w:tc>
          <w:tcPr>
            <w:tcW w:w="709"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13.42</w:t>
            </w:r>
          </w:p>
        </w:tc>
        <w:tc>
          <w:tcPr>
            <w:tcW w:w="850"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8.27</w:t>
            </w:r>
          </w:p>
        </w:tc>
        <w:tc>
          <w:tcPr>
            <w:tcW w:w="851"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10.57</w:t>
            </w:r>
          </w:p>
        </w:tc>
        <w:tc>
          <w:tcPr>
            <w:tcW w:w="992"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8930" w:type="dxa"/>
            <w:gridSpan w:val="9"/>
            <w:tcBorders>
              <w:left w:val="nil"/>
              <w:bottom w:val="nil"/>
              <w:right w:val="nil"/>
            </w:tcBorders>
            <w:vAlign w:val="center"/>
          </w:tcPr>
          <w:p w:rsidR="004F415E" w:rsidRPr="0054223B" w:rsidRDefault="004F415E" w:rsidP="00C336A8">
            <w:pPr>
              <w:jc w:val="center"/>
              <w:rPr>
                <w:rFonts w:ascii="Arial" w:hAnsi="Arial" w:cs="Arial"/>
                <w:i/>
                <w:sz w:val="18"/>
                <w:szCs w:val="18"/>
              </w:rPr>
            </w:pPr>
            <w:r w:rsidRPr="0054223B">
              <w:rPr>
                <w:rFonts w:ascii="Arial" w:hAnsi="Arial" w:cs="Arial"/>
                <w:i/>
                <w:sz w:val="18"/>
                <w:szCs w:val="18"/>
              </w:rPr>
              <w:t>Specific Leaf Area (dm</w:t>
            </w:r>
            <w:r w:rsidRPr="0054223B">
              <w:rPr>
                <w:rFonts w:ascii="Arial" w:hAnsi="Arial" w:cs="Arial"/>
                <w:i/>
                <w:sz w:val="18"/>
                <w:szCs w:val="18"/>
                <w:vertAlign w:val="superscript"/>
              </w:rPr>
              <w:t>2</w:t>
            </w:r>
            <w:r w:rsidRPr="0054223B">
              <w:rPr>
                <w:rFonts w:ascii="Arial" w:hAnsi="Arial" w:cs="Arial"/>
                <w:i/>
                <w:sz w:val="18"/>
                <w:szCs w:val="18"/>
              </w:rPr>
              <w:t>/g)</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138"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-1.37</w:t>
            </w:r>
          </w:p>
        </w:tc>
        <w:tc>
          <w:tcPr>
            <w:tcW w:w="709"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0.65</w:t>
            </w:r>
          </w:p>
        </w:tc>
        <w:tc>
          <w:tcPr>
            <w:tcW w:w="850"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0.02</w:t>
            </w:r>
          </w:p>
        </w:tc>
        <w:tc>
          <w:tcPr>
            <w:tcW w:w="851"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0.64</w:t>
            </w:r>
          </w:p>
        </w:tc>
        <w:tc>
          <w:tcPr>
            <w:tcW w:w="992"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138"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-1.61</w:t>
            </w:r>
          </w:p>
        </w:tc>
        <w:tc>
          <w:tcPr>
            <w:tcW w:w="709"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1.77</w:t>
            </w:r>
          </w:p>
        </w:tc>
        <w:tc>
          <w:tcPr>
            <w:tcW w:w="850"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1.16</w:t>
            </w:r>
          </w:p>
        </w:tc>
        <w:tc>
          <w:tcPr>
            <w:tcW w:w="851"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1.48</w:t>
            </w:r>
          </w:p>
        </w:tc>
        <w:tc>
          <w:tcPr>
            <w:tcW w:w="992"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r w:rsidR="004F415E" w:rsidRPr="0054223B" w:rsidTr="00C336A8">
        <w:tc>
          <w:tcPr>
            <w:tcW w:w="1130" w:type="dxa"/>
            <w:tcBorders>
              <w:top w:val="nil"/>
              <w:left w:val="nil"/>
              <w:bottom w:val="single" w:sz="4" w:space="0" w:color="auto"/>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138"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0.16</w:t>
            </w:r>
          </w:p>
        </w:tc>
        <w:tc>
          <w:tcPr>
            <w:tcW w:w="709"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0.18</w:t>
            </w:r>
          </w:p>
        </w:tc>
        <w:tc>
          <w:tcPr>
            <w:tcW w:w="850"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0.46</w:t>
            </w:r>
          </w:p>
        </w:tc>
        <w:tc>
          <w:tcPr>
            <w:tcW w:w="851"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single" w:sz="4" w:space="0" w:color="auto"/>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0.39</w:t>
            </w:r>
          </w:p>
        </w:tc>
        <w:tc>
          <w:tcPr>
            <w:tcW w:w="992" w:type="dxa"/>
            <w:tcBorders>
              <w:top w:val="nil"/>
              <w:left w:val="nil"/>
              <w:bottom w:val="single" w:sz="4" w:space="0" w:color="auto"/>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8930" w:type="dxa"/>
            <w:gridSpan w:val="9"/>
            <w:tcBorders>
              <w:left w:val="nil"/>
              <w:bottom w:val="nil"/>
              <w:right w:val="nil"/>
            </w:tcBorders>
            <w:vAlign w:val="center"/>
          </w:tcPr>
          <w:p w:rsidR="004F415E" w:rsidRPr="0054223B" w:rsidRDefault="004F415E" w:rsidP="00C336A8">
            <w:pPr>
              <w:jc w:val="center"/>
              <w:rPr>
                <w:rFonts w:ascii="Arial" w:hAnsi="Arial" w:cs="Arial"/>
                <w:i/>
                <w:sz w:val="18"/>
                <w:szCs w:val="18"/>
              </w:rPr>
            </w:pPr>
            <w:r w:rsidRPr="0054223B">
              <w:rPr>
                <w:rFonts w:ascii="Arial" w:hAnsi="Arial" w:cs="Arial"/>
                <w:i/>
                <w:sz w:val="18"/>
                <w:szCs w:val="18"/>
              </w:rPr>
              <w:t>Leaf Area Ratio (cm</w:t>
            </w:r>
            <w:r w:rsidRPr="0054223B">
              <w:rPr>
                <w:rFonts w:ascii="Arial" w:hAnsi="Arial" w:cs="Arial"/>
                <w:i/>
                <w:sz w:val="18"/>
                <w:szCs w:val="18"/>
                <w:vertAlign w:val="superscript"/>
              </w:rPr>
              <w:t>2</w:t>
            </w:r>
            <w:r w:rsidRPr="0054223B">
              <w:rPr>
                <w:rFonts w:ascii="Arial" w:hAnsi="Arial" w:cs="Arial"/>
                <w:i/>
                <w:sz w:val="18"/>
                <w:szCs w:val="18"/>
              </w:rPr>
              <w:t>/g)</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1138"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-71.9</w:t>
            </w:r>
          </w:p>
        </w:tc>
        <w:tc>
          <w:tcPr>
            <w:tcW w:w="709"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29.9</w:t>
            </w:r>
          </w:p>
        </w:tc>
        <w:tc>
          <w:tcPr>
            <w:tcW w:w="850"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-5.2</w:t>
            </w:r>
          </w:p>
        </w:tc>
        <w:tc>
          <w:tcPr>
            <w:tcW w:w="851"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16.2</w:t>
            </w:r>
          </w:p>
        </w:tc>
        <w:tc>
          <w:tcPr>
            <w:tcW w:w="992"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130" w:type="dxa"/>
            <w:tcBorders>
              <w:top w:val="nil"/>
              <w:left w:val="nil"/>
              <w:bottom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1138"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-73.6</w:t>
            </w:r>
          </w:p>
        </w:tc>
        <w:tc>
          <w:tcPr>
            <w:tcW w:w="709"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61.5</w:t>
            </w:r>
          </w:p>
        </w:tc>
        <w:tc>
          <w:tcPr>
            <w:tcW w:w="850"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134"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31.1</w:t>
            </w:r>
          </w:p>
        </w:tc>
        <w:tc>
          <w:tcPr>
            <w:tcW w:w="851" w:type="dxa"/>
            <w:tcBorders>
              <w:top w:val="nil"/>
              <w:left w:val="nil"/>
              <w:bottom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44.4</w:t>
            </w:r>
          </w:p>
        </w:tc>
        <w:tc>
          <w:tcPr>
            <w:tcW w:w="992" w:type="dxa"/>
            <w:tcBorders>
              <w:top w:val="nil"/>
              <w:left w:val="nil"/>
              <w:bottom w:val="nil"/>
              <w:right w:val="nil"/>
            </w:tcBorders>
            <w:vAlign w:val="center"/>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r w:rsidR="004F415E" w:rsidRPr="0054223B" w:rsidTr="00C336A8">
        <w:tc>
          <w:tcPr>
            <w:tcW w:w="1130" w:type="dxa"/>
            <w:tcBorders>
              <w:top w:val="nil"/>
              <w:left w:val="nil"/>
              <w:right w:val="nil"/>
            </w:tcBorders>
            <w:vAlign w:val="center"/>
          </w:tcPr>
          <w:p w:rsidR="004F415E" w:rsidRPr="0054223B" w:rsidRDefault="004F415E" w:rsidP="00C336A8">
            <w:pPr>
              <w:ind w:left="96"/>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1138" w:type="dxa"/>
            <w:tcBorders>
              <w:top w:val="nil"/>
              <w:left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-32.5</w:t>
            </w:r>
          </w:p>
        </w:tc>
        <w:tc>
          <w:tcPr>
            <w:tcW w:w="709" w:type="dxa"/>
            <w:tcBorders>
              <w:top w:val="nil"/>
              <w:left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25.8</w:t>
            </w:r>
          </w:p>
        </w:tc>
        <w:tc>
          <w:tcPr>
            <w:tcW w:w="850" w:type="dxa"/>
            <w:tcBorders>
              <w:top w:val="nil"/>
              <w:left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134" w:type="dxa"/>
            <w:tcBorders>
              <w:top w:val="nil"/>
              <w:left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20.1</w:t>
            </w:r>
          </w:p>
        </w:tc>
        <w:tc>
          <w:tcPr>
            <w:tcW w:w="851" w:type="dxa"/>
            <w:tcBorders>
              <w:top w:val="nil"/>
              <w:left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92" w:type="dxa"/>
            <w:tcBorders>
              <w:top w:val="nil"/>
              <w:left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12.3</w:t>
            </w:r>
          </w:p>
        </w:tc>
        <w:tc>
          <w:tcPr>
            <w:tcW w:w="992" w:type="dxa"/>
            <w:tcBorders>
              <w:top w:val="nil"/>
              <w:left w:val="nil"/>
              <w:right w:val="nil"/>
            </w:tcBorders>
            <w:vAlign w:val="center"/>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bl>
    <w:p w:rsidR="004F415E" w:rsidRPr="0054223B" w:rsidRDefault="004F415E" w:rsidP="004F415E">
      <w:pPr>
        <w:spacing w:before="80" w:after="0" w:line="240" w:lineRule="auto"/>
        <w:ind w:left="180" w:hanging="180"/>
        <w:rPr>
          <w:rFonts w:ascii="Arial" w:hAnsi="Arial" w:cs="Arial"/>
          <w:sz w:val="18"/>
          <w:szCs w:val="18"/>
        </w:rPr>
      </w:pPr>
      <w:r w:rsidRPr="0054223B">
        <w:rPr>
          <w:rFonts w:ascii="Arial" w:hAnsi="Arial" w:cs="Arial"/>
          <w:sz w:val="18"/>
          <w:szCs w:val="18"/>
          <w:vertAlign w:val="superscript"/>
        </w:rPr>
        <w:t>x)</w:t>
      </w:r>
      <w:r w:rsidRPr="0054223B">
        <w:rPr>
          <w:rFonts w:ascii="Arial" w:hAnsi="Arial" w:cs="Arial"/>
          <w:sz w:val="18"/>
          <w:szCs w:val="18"/>
        </w:rPr>
        <w:t xml:space="preserve"> 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spacing w:before="80" w:after="0" w:line="240" w:lineRule="auto"/>
        <w:ind w:left="142" w:hanging="142"/>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Value of comparison and result of t-Test  for paired sample  at level 0.05, ns = no significant different,                          * = significantly different </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hAnsi="Arial" w:cs="Arial"/>
          <w:sz w:val="20"/>
          <w:szCs w:val="20"/>
        </w:rPr>
      </w:pPr>
      <w:r w:rsidRPr="0054223B">
        <w:rPr>
          <w:rFonts w:ascii="Arial" w:hAnsi="Arial" w:cs="Arial"/>
          <w:sz w:val="20"/>
          <w:szCs w:val="20"/>
        </w:rPr>
        <w:lastRenderedPageBreak/>
        <w:t xml:space="preserve">Table 7. </w:t>
      </w:r>
      <w:r w:rsidRPr="0054223B">
        <w:rPr>
          <w:rFonts w:ascii="Arial" w:hAnsi="Arial" w:cs="Arial"/>
          <w:sz w:val="20"/>
          <w:szCs w:val="20"/>
        </w:rPr>
        <w:tab/>
        <w:t>Pairwise comparison for evaluating effect of SWT exposure on relative leaf water content and for comparing between SWT exposed plants treated with or without ALA at different time of application.</w:t>
      </w:r>
    </w:p>
    <w:tbl>
      <w:tblPr>
        <w:tblStyle w:val="TableGrid"/>
        <w:tblW w:w="9326" w:type="dxa"/>
        <w:tblInd w:w="250" w:type="dxa"/>
        <w:tblLayout w:type="fixed"/>
        <w:tblLook w:val="04A0" w:firstRow="1" w:lastRow="0" w:firstColumn="1" w:lastColumn="0" w:noHBand="0" w:noVBand="1"/>
      </w:tblPr>
      <w:tblGrid>
        <w:gridCol w:w="1559"/>
        <w:gridCol w:w="1134"/>
        <w:gridCol w:w="709"/>
        <w:gridCol w:w="677"/>
        <w:gridCol w:w="956"/>
        <w:gridCol w:w="801"/>
        <w:gridCol w:w="875"/>
        <w:gridCol w:w="859"/>
        <w:gridCol w:w="927"/>
        <w:gridCol w:w="829"/>
      </w:tblGrid>
      <w:tr w:rsidR="004F415E" w:rsidRPr="0054223B" w:rsidTr="00C336A8">
        <w:trPr>
          <w:trHeight w:val="377"/>
        </w:trPr>
        <w:tc>
          <w:tcPr>
            <w:tcW w:w="1559"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Time of measurement </w:t>
            </w:r>
            <w:r w:rsidRPr="0054223B">
              <w:rPr>
                <w:rFonts w:ascii="Arial" w:hAnsi="Arial" w:cs="Arial"/>
                <w:sz w:val="18"/>
                <w:szCs w:val="18"/>
                <w:vertAlign w:val="superscript"/>
              </w:rPr>
              <w:t>z</w:t>
            </w:r>
          </w:p>
        </w:tc>
        <w:tc>
          <w:tcPr>
            <w:tcW w:w="1134"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Depth of SWT</w:t>
            </w:r>
          </w:p>
        </w:tc>
        <w:tc>
          <w:tcPr>
            <w:tcW w:w="1386" w:type="dxa"/>
            <w:gridSpan w:val="2"/>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Control vs Exposure to SWT</w:t>
            </w:r>
          </w:p>
        </w:tc>
        <w:tc>
          <w:tcPr>
            <w:tcW w:w="5247" w:type="dxa"/>
            <w:gridSpan w:val="6"/>
            <w:tcBorders>
              <w:left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y</w:t>
            </w:r>
          </w:p>
        </w:tc>
      </w:tr>
      <w:tr w:rsidR="004F415E" w:rsidRPr="0054223B" w:rsidTr="00C336A8">
        <w:tc>
          <w:tcPr>
            <w:tcW w:w="1559"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134"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386" w:type="dxa"/>
            <w:gridSpan w:val="2"/>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757"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734"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756"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36A8">
        <w:tc>
          <w:tcPr>
            <w:tcW w:w="1559" w:type="dxa"/>
            <w:vMerge w:val="restart"/>
            <w:tcBorders>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1134"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09" w:type="dxa"/>
            <w:tcBorders>
              <w:top w:val="nil"/>
              <w:left w:val="nil"/>
              <w:bottom w:val="nil"/>
              <w:right w:val="nil"/>
            </w:tcBorders>
            <w:vAlign w:val="center"/>
          </w:tcPr>
          <w:p w:rsidR="004F415E" w:rsidRPr="0054223B" w:rsidRDefault="004F415E" w:rsidP="00C336A8">
            <w:pPr>
              <w:jc w:val="right"/>
              <w:rPr>
                <w:rFonts w:ascii="Arial" w:hAnsi="Arial" w:cs="Arial"/>
                <w:sz w:val="18"/>
                <w:szCs w:val="18"/>
              </w:rPr>
            </w:pPr>
            <w:r w:rsidRPr="0054223B">
              <w:rPr>
                <w:rFonts w:ascii="Arial" w:hAnsi="Arial" w:cs="Arial"/>
                <w:sz w:val="18"/>
                <w:szCs w:val="18"/>
              </w:rPr>
              <w:t>-1.3</w:t>
            </w:r>
          </w:p>
        </w:tc>
        <w:tc>
          <w:tcPr>
            <w:tcW w:w="677"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5.0</w:t>
            </w:r>
          </w:p>
        </w:tc>
        <w:tc>
          <w:tcPr>
            <w:tcW w:w="8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5.5</w:t>
            </w:r>
          </w:p>
        </w:tc>
        <w:tc>
          <w:tcPr>
            <w:tcW w:w="859"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756" w:type="dxa"/>
            <w:gridSpan w:val="2"/>
            <w:tcBorders>
              <w:top w:val="nil"/>
              <w:left w:val="nil"/>
              <w:bottom w:val="nil"/>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59"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34"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0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-1.4</w:t>
            </w:r>
          </w:p>
        </w:tc>
        <w:tc>
          <w:tcPr>
            <w:tcW w:w="677"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5.4</w:t>
            </w:r>
          </w:p>
        </w:tc>
        <w:tc>
          <w:tcPr>
            <w:tcW w:w="80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75"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3.1</w:t>
            </w:r>
          </w:p>
        </w:tc>
        <w:tc>
          <w:tcPr>
            <w:tcW w:w="859"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w:t>
            </w:r>
          </w:p>
        </w:tc>
      </w:tr>
      <w:tr w:rsidR="004F415E" w:rsidRPr="0054223B" w:rsidTr="00C336A8">
        <w:tc>
          <w:tcPr>
            <w:tcW w:w="1559"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34"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0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-1.4</w:t>
            </w:r>
          </w:p>
        </w:tc>
        <w:tc>
          <w:tcPr>
            <w:tcW w:w="677"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1.1</w:t>
            </w:r>
          </w:p>
        </w:tc>
        <w:tc>
          <w:tcPr>
            <w:tcW w:w="80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-0.1</w:t>
            </w:r>
          </w:p>
        </w:tc>
        <w:tc>
          <w:tcPr>
            <w:tcW w:w="859"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single" w:sz="4" w:space="0" w:color="auto"/>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59" w:type="dxa"/>
            <w:vMerge w:val="restart"/>
            <w:tcBorders>
              <w:top w:val="single" w:sz="4" w:space="0" w:color="auto"/>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 DoT</w:t>
            </w:r>
          </w:p>
        </w:tc>
        <w:tc>
          <w:tcPr>
            <w:tcW w:w="1134"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0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-16.7</w:t>
            </w:r>
          </w:p>
        </w:tc>
        <w:tc>
          <w:tcPr>
            <w:tcW w:w="677"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56"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7.4</w:t>
            </w:r>
          </w:p>
        </w:tc>
        <w:tc>
          <w:tcPr>
            <w:tcW w:w="801"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-5.5</w:t>
            </w:r>
          </w:p>
        </w:tc>
        <w:tc>
          <w:tcPr>
            <w:tcW w:w="859"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single" w:sz="4" w:space="0" w:color="auto"/>
              <w:left w:val="nil"/>
              <w:bottom w:val="nil"/>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59"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34"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0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-8.2</w:t>
            </w:r>
          </w:p>
        </w:tc>
        <w:tc>
          <w:tcPr>
            <w:tcW w:w="677"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2.6</w:t>
            </w:r>
          </w:p>
        </w:tc>
        <w:tc>
          <w:tcPr>
            <w:tcW w:w="8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5.1</w:t>
            </w:r>
          </w:p>
        </w:tc>
        <w:tc>
          <w:tcPr>
            <w:tcW w:w="859"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w:t>
            </w:r>
          </w:p>
        </w:tc>
      </w:tr>
      <w:tr w:rsidR="004F415E" w:rsidRPr="0054223B" w:rsidTr="00C336A8">
        <w:tc>
          <w:tcPr>
            <w:tcW w:w="1559"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34"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0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-2.8</w:t>
            </w:r>
          </w:p>
        </w:tc>
        <w:tc>
          <w:tcPr>
            <w:tcW w:w="677"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2.5</w:t>
            </w:r>
          </w:p>
        </w:tc>
        <w:tc>
          <w:tcPr>
            <w:tcW w:w="80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-0.3</w:t>
            </w:r>
          </w:p>
        </w:tc>
        <w:tc>
          <w:tcPr>
            <w:tcW w:w="859"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56" w:type="dxa"/>
            <w:gridSpan w:val="2"/>
            <w:tcBorders>
              <w:top w:val="nil"/>
              <w:left w:val="nil"/>
              <w:bottom w:val="single" w:sz="4" w:space="0" w:color="auto"/>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59" w:type="dxa"/>
            <w:vMerge w:val="restart"/>
            <w:tcBorders>
              <w:top w:val="single" w:sz="4" w:space="0" w:color="auto"/>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c>
          <w:tcPr>
            <w:tcW w:w="1134"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0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-5.9</w:t>
            </w:r>
          </w:p>
        </w:tc>
        <w:tc>
          <w:tcPr>
            <w:tcW w:w="677"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3.5</w:t>
            </w:r>
          </w:p>
        </w:tc>
        <w:tc>
          <w:tcPr>
            <w:tcW w:w="801"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0.6</w:t>
            </w:r>
          </w:p>
        </w:tc>
        <w:tc>
          <w:tcPr>
            <w:tcW w:w="859"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27"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2.9</w:t>
            </w:r>
          </w:p>
        </w:tc>
        <w:tc>
          <w:tcPr>
            <w:tcW w:w="829"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559"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34"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0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-7.3</w:t>
            </w:r>
          </w:p>
        </w:tc>
        <w:tc>
          <w:tcPr>
            <w:tcW w:w="677"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5.6</w:t>
            </w:r>
          </w:p>
        </w:tc>
        <w:tc>
          <w:tcPr>
            <w:tcW w:w="8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6.7</w:t>
            </w:r>
          </w:p>
        </w:tc>
        <w:tc>
          <w:tcPr>
            <w:tcW w:w="859"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27"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1.8</w:t>
            </w:r>
          </w:p>
        </w:tc>
        <w:tc>
          <w:tcPr>
            <w:tcW w:w="829"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559"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34"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0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-4.8</w:t>
            </w:r>
          </w:p>
        </w:tc>
        <w:tc>
          <w:tcPr>
            <w:tcW w:w="677"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56"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4.0</w:t>
            </w:r>
          </w:p>
        </w:tc>
        <w:tc>
          <w:tcPr>
            <w:tcW w:w="80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75"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-1.0</w:t>
            </w:r>
          </w:p>
        </w:tc>
        <w:tc>
          <w:tcPr>
            <w:tcW w:w="859"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27"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3.2</w:t>
            </w:r>
          </w:p>
        </w:tc>
        <w:tc>
          <w:tcPr>
            <w:tcW w:w="829"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vertAlign w:val="superscript"/>
        </w:rPr>
        <w:tab/>
      </w:r>
      <w:r w:rsidRPr="0054223B">
        <w:rPr>
          <w:rFonts w:ascii="Arial" w:hAnsi="Arial" w:cs="Arial"/>
          <w:sz w:val="18"/>
          <w:szCs w:val="18"/>
        </w:rPr>
        <w:t>Measurements were made at 12 DoT, 18 DoT, and 4 DoR; 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period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hAnsi="Arial" w:cs="Arial"/>
          <w:sz w:val="20"/>
          <w:szCs w:val="20"/>
        </w:rPr>
      </w:pPr>
      <w:r w:rsidRPr="0054223B">
        <w:rPr>
          <w:rFonts w:ascii="Arial" w:hAnsi="Arial" w:cs="Arial"/>
          <w:sz w:val="20"/>
          <w:szCs w:val="20"/>
        </w:rPr>
        <w:lastRenderedPageBreak/>
        <w:t xml:space="preserve">Table 8. </w:t>
      </w:r>
      <w:r w:rsidRPr="0054223B">
        <w:rPr>
          <w:rFonts w:ascii="Arial" w:hAnsi="Arial" w:cs="Arial"/>
          <w:sz w:val="20"/>
          <w:szCs w:val="20"/>
        </w:rPr>
        <w:tab/>
        <w:t>Pairwise comparison for evaluating effect of SWT exposure on proline content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501"/>
        <w:gridCol w:w="1167"/>
        <w:gridCol w:w="978"/>
        <w:gridCol w:w="550"/>
        <w:gridCol w:w="869"/>
        <w:gridCol w:w="688"/>
        <w:gridCol w:w="984"/>
        <w:gridCol w:w="688"/>
        <w:gridCol w:w="907"/>
        <w:gridCol w:w="778"/>
      </w:tblGrid>
      <w:tr w:rsidR="004F415E" w:rsidRPr="0054223B" w:rsidTr="00C336A8">
        <w:trPr>
          <w:trHeight w:val="377"/>
        </w:trPr>
        <w:tc>
          <w:tcPr>
            <w:tcW w:w="1501"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Time of measurement </w:t>
            </w:r>
            <w:r w:rsidRPr="0054223B">
              <w:rPr>
                <w:rFonts w:ascii="Arial" w:hAnsi="Arial" w:cs="Arial"/>
                <w:sz w:val="18"/>
                <w:szCs w:val="18"/>
                <w:vertAlign w:val="superscript"/>
              </w:rPr>
              <w:t>z</w:t>
            </w:r>
          </w:p>
        </w:tc>
        <w:tc>
          <w:tcPr>
            <w:tcW w:w="1167"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Depth of SWT</w:t>
            </w:r>
          </w:p>
        </w:tc>
        <w:tc>
          <w:tcPr>
            <w:tcW w:w="1528" w:type="dxa"/>
            <w:gridSpan w:val="2"/>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Control vs Exposure to SWT</w:t>
            </w:r>
          </w:p>
        </w:tc>
        <w:tc>
          <w:tcPr>
            <w:tcW w:w="4914" w:type="dxa"/>
            <w:gridSpan w:val="6"/>
            <w:tcBorders>
              <w:left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y</w:t>
            </w:r>
          </w:p>
        </w:tc>
      </w:tr>
      <w:tr w:rsidR="004F415E" w:rsidRPr="0054223B" w:rsidTr="00C336A8">
        <w:tc>
          <w:tcPr>
            <w:tcW w:w="1501"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167"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528" w:type="dxa"/>
            <w:gridSpan w:val="2"/>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557"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672"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685"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36A8">
        <w:tc>
          <w:tcPr>
            <w:tcW w:w="1501" w:type="dxa"/>
            <w:vMerge w:val="restart"/>
            <w:tcBorders>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1167"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78"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0.045</w:t>
            </w:r>
          </w:p>
        </w:tc>
        <w:tc>
          <w:tcPr>
            <w:tcW w:w="550"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0.033</w:t>
            </w:r>
          </w:p>
        </w:tc>
        <w:tc>
          <w:tcPr>
            <w:tcW w:w="68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-0.030</w:t>
            </w:r>
          </w:p>
        </w:tc>
        <w:tc>
          <w:tcPr>
            <w:tcW w:w="68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685" w:type="dxa"/>
            <w:gridSpan w:val="2"/>
            <w:tcBorders>
              <w:top w:val="single" w:sz="4" w:space="0" w:color="auto"/>
              <w:left w:val="nil"/>
              <w:bottom w:val="nil"/>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01"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67"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78"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0.065</w:t>
            </w:r>
          </w:p>
        </w:tc>
        <w:tc>
          <w:tcPr>
            <w:tcW w:w="5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-0.010</w:t>
            </w:r>
          </w:p>
        </w:tc>
        <w:tc>
          <w:tcPr>
            <w:tcW w:w="688"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8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-0.024</w:t>
            </w:r>
          </w:p>
        </w:tc>
        <w:tc>
          <w:tcPr>
            <w:tcW w:w="688"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685" w:type="dxa"/>
            <w:gridSpan w:val="2"/>
            <w:tcBorders>
              <w:top w:val="nil"/>
              <w:left w:val="nil"/>
              <w:bottom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w:t>
            </w:r>
          </w:p>
        </w:tc>
      </w:tr>
      <w:tr w:rsidR="004F415E" w:rsidRPr="0054223B" w:rsidTr="00C336A8">
        <w:tc>
          <w:tcPr>
            <w:tcW w:w="1501"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67"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78"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0.015</w:t>
            </w:r>
          </w:p>
        </w:tc>
        <w:tc>
          <w:tcPr>
            <w:tcW w:w="550"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86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-0.051</w:t>
            </w:r>
          </w:p>
        </w:tc>
        <w:tc>
          <w:tcPr>
            <w:tcW w:w="688"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-0.026</w:t>
            </w:r>
          </w:p>
        </w:tc>
        <w:tc>
          <w:tcPr>
            <w:tcW w:w="688"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685" w:type="dxa"/>
            <w:gridSpan w:val="2"/>
            <w:tcBorders>
              <w:top w:val="nil"/>
              <w:left w:val="nil"/>
              <w:bottom w:val="single" w:sz="4" w:space="0" w:color="auto"/>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01" w:type="dxa"/>
            <w:vMerge w:val="restart"/>
            <w:tcBorders>
              <w:top w:val="single" w:sz="4" w:space="0" w:color="auto"/>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 DoT</w:t>
            </w:r>
          </w:p>
        </w:tc>
        <w:tc>
          <w:tcPr>
            <w:tcW w:w="1167"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78"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0.018</w:t>
            </w:r>
          </w:p>
        </w:tc>
        <w:tc>
          <w:tcPr>
            <w:tcW w:w="550"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-0.031</w:t>
            </w:r>
          </w:p>
        </w:tc>
        <w:tc>
          <w:tcPr>
            <w:tcW w:w="68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0.047</w:t>
            </w:r>
          </w:p>
        </w:tc>
        <w:tc>
          <w:tcPr>
            <w:tcW w:w="68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685" w:type="dxa"/>
            <w:gridSpan w:val="2"/>
            <w:tcBorders>
              <w:top w:val="single" w:sz="4" w:space="0" w:color="auto"/>
              <w:left w:val="nil"/>
              <w:bottom w:val="nil"/>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01"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67"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78"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0.052</w:t>
            </w:r>
          </w:p>
        </w:tc>
        <w:tc>
          <w:tcPr>
            <w:tcW w:w="5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-0.044</w:t>
            </w:r>
          </w:p>
        </w:tc>
        <w:tc>
          <w:tcPr>
            <w:tcW w:w="688"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-0.017</w:t>
            </w:r>
          </w:p>
        </w:tc>
        <w:tc>
          <w:tcPr>
            <w:tcW w:w="688"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685" w:type="dxa"/>
            <w:gridSpan w:val="2"/>
            <w:tcBorders>
              <w:top w:val="nil"/>
              <w:left w:val="nil"/>
              <w:bottom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w:t>
            </w:r>
          </w:p>
        </w:tc>
      </w:tr>
      <w:tr w:rsidR="004F415E" w:rsidRPr="0054223B" w:rsidTr="00C336A8">
        <w:tc>
          <w:tcPr>
            <w:tcW w:w="1501"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67"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78"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0.015</w:t>
            </w:r>
          </w:p>
        </w:tc>
        <w:tc>
          <w:tcPr>
            <w:tcW w:w="550"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-0.033</w:t>
            </w:r>
          </w:p>
        </w:tc>
        <w:tc>
          <w:tcPr>
            <w:tcW w:w="688"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-0.009</w:t>
            </w:r>
          </w:p>
        </w:tc>
        <w:tc>
          <w:tcPr>
            <w:tcW w:w="688"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685" w:type="dxa"/>
            <w:gridSpan w:val="2"/>
            <w:tcBorders>
              <w:top w:val="nil"/>
              <w:left w:val="nil"/>
              <w:bottom w:val="single" w:sz="4" w:space="0" w:color="auto"/>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01" w:type="dxa"/>
            <w:vMerge w:val="restart"/>
            <w:tcBorders>
              <w:top w:val="single" w:sz="4" w:space="0" w:color="auto"/>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c>
          <w:tcPr>
            <w:tcW w:w="1167"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978"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-0.125</w:t>
            </w:r>
          </w:p>
        </w:tc>
        <w:tc>
          <w:tcPr>
            <w:tcW w:w="550"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0.147</w:t>
            </w:r>
          </w:p>
        </w:tc>
        <w:tc>
          <w:tcPr>
            <w:tcW w:w="68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0.056</w:t>
            </w:r>
          </w:p>
        </w:tc>
        <w:tc>
          <w:tcPr>
            <w:tcW w:w="68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07"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0.039</w:t>
            </w:r>
          </w:p>
        </w:tc>
        <w:tc>
          <w:tcPr>
            <w:tcW w:w="778"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r w:rsidR="004F415E" w:rsidRPr="0054223B" w:rsidTr="00C336A8">
        <w:tc>
          <w:tcPr>
            <w:tcW w:w="1501"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67"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978"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-0.058</w:t>
            </w:r>
          </w:p>
        </w:tc>
        <w:tc>
          <w:tcPr>
            <w:tcW w:w="550"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0.007</w:t>
            </w:r>
          </w:p>
        </w:tc>
        <w:tc>
          <w:tcPr>
            <w:tcW w:w="688"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84"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-0.028</w:t>
            </w:r>
          </w:p>
        </w:tc>
        <w:tc>
          <w:tcPr>
            <w:tcW w:w="688"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07"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-0.016</w:t>
            </w:r>
          </w:p>
        </w:tc>
        <w:tc>
          <w:tcPr>
            <w:tcW w:w="778"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r w:rsidR="004F415E" w:rsidRPr="0054223B" w:rsidTr="00C336A8">
        <w:tc>
          <w:tcPr>
            <w:tcW w:w="1501"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67"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978"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-0.101</w:t>
            </w:r>
          </w:p>
        </w:tc>
        <w:tc>
          <w:tcPr>
            <w:tcW w:w="550"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86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0.043</w:t>
            </w:r>
          </w:p>
        </w:tc>
        <w:tc>
          <w:tcPr>
            <w:tcW w:w="688"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4"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0.055</w:t>
            </w:r>
          </w:p>
        </w:tc>
        <w:tc>
          <w:tcPr>
            <w:tcW w:w="688"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07"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0.253</w:t>
            </w:r>
          </w:p>
        </w:tc>
        <w:tc>
          <w:tcPr>
            <w:tcW w:w="778"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vertAlign w:val="superscript"/>
        </w:rPr>
        <w:tab/>
      </w:r>
      <w:r w:rsidRPr="0054223B">
        <w:rPr>
          <w:rFonts w:ascii="Arial" w:hAnsi="Arial" w:cs="Arial"/>
          <w:sz w:val="18"/>
          <w:szCs w:val="18"/>
        </w:rPr>
        <w:t>Measurements were made at 12 DoT, 18 DoT, and 4 DoR; 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w:t>
      </w:r>
      <w:r w:rsidRPr="0054223B">
        <w:rPr>
          <w:rFonts w:ascii="Arial" w:hAnsi="Arial" w:cs="Arial"/>
          <w:sz w:val="18"/>
          <w:szCs w:val="18"/>
        </w:rPr>
        <w:tab/>
        <w:t>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period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p w:rsidR="004F415E" w:rsidRPr="0054223B" w:rsidRDefault="004F415E" w:rsidP="004F415E">
      <w:pPr>
        <w:spacing w:after="120" w:line="240" w:lineRule="auto"/>
        <w:ind w:left="806" w:hanging="806"/>
        <w:rPr>
          <w:rFonts w:ascii="Arial" w:hAnsi="Arial" w:cs="Arial"/>
          <w:sz w:val="20"/>
          <w:szCs w:val="20"/>
        </w:rPr>
      </w:pPr>
      <w:r w:rsidRPr="0054223B">
        <w:rPr>
          <w:rFonts w:ascii="Arial" w:hAnsi="Arial" w:cs="Arial"/>
          <w:sz w:val="20"/>
          <w:szCs w:val="20"/>
        </w:rPr>
        <w:lastRenderedPageBreak/>
        <w:t xml:space="preserve">Table 9. </w:t>
      </w:r>
      <w:r w:rsidRPr="0054223B">
        <w:rPr>
          <w:rFonts w:ascii="Arial" w:hAnsi="Arial" w:cs="Arial"/>
          <w:sz w:val="20"/>
          <w:szCs w:val="20"/>
        </w:rPr>
        <w:tab/>
        <w:t>Pairwise comparison for evaluating effect of SWT exposure on SPAD value and for comparing between SWT exposed plants treated with or without ALA at different time of application.</w:t>
      </w:r>
    </w:p>
    <w:tbl>
      <w:tblPr>
        <w:tblStyle w:val="TableGrid"/>
        <w:tblW w:w="0" w:type="auto"/>
        <w:tblInd w:w="250" w:type="dxa"/>
        <w:tblLook w:val="04A0" w:firstRow="1" w:lastRow="0" w:firstColumn="1" w:lastColumn="0" w:noHBand="0" w:noVBand="1"/>
      </w:tblPr>
      <w:tblGrid>
        <w:gridCol w:w="1544"/>
        <w:gridCol w:w="1128"/>
        <w:gridCol w:w="759"/>
        <w:gridCol w:w="597"/>
        <w:gridCol w:w="1000"/>
        <w:gridCol w:w="701"/>
        <w:gridCol w:w="980"/>
        <w:gridCol w:w="701"/>
        <w:gridCol w:w="900"/>
        <w:gridCol w:w="800"/>
      </w:tblGrid>
      <w:tr w:rsidR="004F415E" w:rsidRPr="0054223B" w:rsidTr="00C336A8">
        <w:trPr>
          <w:trHeight w:val="377"/>
        </w:trPr>
        <w:tc>
          <w:tcPr>
            <w:tcW w:w="1544" w:type="dxa"/>
            <w:vMerge w:val="restart"/>
            <w:tcBorders>
              <w:left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Time of measurement </w:t>
            </w:r>
            <w:r w:rsidRPr="0054223B">
              <w:rPr>
                <w:rFonts w:ascii="Arial" w:hAnsi="Arial" w:cs="Arial"/>
                <w:sz w:val="18"/>
                <w:szCs w:val="18"/>
                <w:vertAlign w:val="superscript"/>
              </w:rPr>
              <w:t>z</w:t>
            </w:r>
          </w:p>
        </w:tc>
        <w:tc>
          <w:tcPr>
            <w:tcW w:w="1128" w:type="dxa"/>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Depth of SWT</w:t>
            </w:r>
          </w:p>
        </w:tc>
        <w:tc>
          <w:tcPr>
            <w:tcW w:w="1356" w:type="dxa"/>
            <w:gridSpan w:val="2"/>
            <w:vMerge w:val="restart"/>
            <w:tcBorders>
              <w:left w:val="nil"/>
              <w:right w:val="nil"/>
            </w:tcBorders>
            <w:vAlign w:val="center"/>
          </w:tcPr>
          <w:p w:rsidR="004F415E" w:rsidRPr="0054223B" w:rsidRDefault="004F415E" w:rsidP="00C336A8">
            <w:pPr>
              <w:jc w:val="center"/>
              <w:rPr>
                <w:rFonts w:ascii="Arial" w:hAnsi="Arial" w:cs="Arial"/>
                <w:sz w:val="18"/>
                <w:szCs w:val="18"/>
              </w:rPr>
            </w:pPr>
            <w:r w:rsidRPr="0054223B">
              <w:rPr>
                <w:rFonts w:ascii="Arial" w:hAnsi="Arial" w:cs="Arial"/>
                <w:sz w:val="18"/>
                <w:szCs w:val="18"/>
              </w:rPr>
              <w:t>Control vs Exposure to SWT</w:t>
            </w:r>
          </w:p>
        </w:tc>
        <w:tc>
          <w:tcPr>
            <w:tcW w:w="5082" w:type="dxa"/>
            <w:gridSpan w:val="6"/>
            <w:tcBorders>
              <w:left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 xml:space="preserve">With vs Without ALA application </w:t>
            </w:r>
            <w:r w:rsidRPr="0054223B">
              <w:rPr>
                <w:rFonts w:ascii="Arial" w:hAnsi="Arial" w:cs="Arial"/>
                <w:sz w:val="18"/>
                <w:szCs w:val="18"/>
                <w:vertAlign w:val="superscript"/>
              </w:rPr>
              <w:t>y</w:t>
            </w:r>
          </w:p>
        </w:tc>
      </w:tr>
      <w:tr w:rsidR="004F415E" w:rsidRPr="0054223B" w:rsidTr="00C336A8">
        <w:tc>
          <w:tcPr>
            <w:tcW w:w="1544"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128" w:type="dxa"/>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356" w:type="dxa"/>
            <w:gridSpan w:val="2"/>
            <w:vMerge/>
            <w:tcBorders>
              <w:left w:val="nil"/>
              <w:bottom w:val="single" w:sz="4" w:space="0" w:color="auto"/>
              <w:right w:val="nil"/>
            </w:tcBorders>
          </w:tcPr>
          <w:p w:rsidR="004F415E" w:rsidRPr="0054223B" w:rsidRDefault="004F415E" w:rsidP="00C336A8">
            <w:pPr>
              <w:rPr>
                <w:rFonts w:ascii="Arial" w:hAnsi="Arial" w:cs="Arial"/>
                <w:sz w:val="18"/>
                <w:szCs w:val="18"/>
              </w:rPr>
            </w:pPr>
          </w:p>
        </w:tc>
        <w:tc>
          <w:tcPr>
            <w:tcW w:w="1701"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14 DAP (T</w:t>
            </w:r>
            <w:r w:rsidRPr="0054223B">
              <w:rPr>
                <w:rFonts w:ascii="Arial" w:hAnsi="Arial" w:cs="Arial"/>
                <w:sz w:val="18"/>
                <w:szCs w:val="18"/>
                <w:vertAlign w:val="subscript"/>
              </w:rPr>
              <w:t>14</w:t>
            </w:r>
            <w:r w:rsidRPr="0054223B">
              <w:rPr>
                <w:rFonts w:ascii="Arial" w:hAnsi="Arial" w:cs="Arial"/>
                <w:sz w:val="18"/>
                <w:szCs w:val="18"/>
              </w:rPr>
              <w:t>)</w:t>
            </w:r>
          </w:p>
        </w:tc>
        <w:tc>
          <w:tcPr>
            <w:tcW w:w="1681"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28 DAP (T</w:t>
            </w:r>
            <w:r w:rsidRPr="0054223B">
              <w:rPr>
                <w:rFonts w:ascii="Arial" w:hAnsi="Arial" w:cs="Arial"/>
                <w:sz w:val="18"/>
                <w:szCs w:val="18"/>
                <w:vertAlign w:val="subscript"/>
              </w:rPr>
              <w:t>28</w:t>
            </w:r>
            <w:r w:rsidRPr="0054223B">
              <w:rPr>
                <w:rFonts w:ascii="Arial" w:hAnsi="Arial" w:cs="Arial"/>
                <w:sz w:val="18"/>
                <w:szCs w:val="18"/>
              </w:rPr>
              <w:t>)</w:t>
            </w:r>
          </w:p>
        </w:tc>
        <w:tc>
          <w:tcPr>
            <w:tcW w:w="1700" w:type="dxa"/>
            <w:gridSpan w:val="2"/>
            <w:tcBorders>
              <w:left w:val="nil"/>
              <w:bottom w:val="single" w:sz="4" w:space="0" w:color="auto"/>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38 DAP (T</w:t>
            </w:r>
            <w:r w:rsidRPr="0054223B">
              <w:rPr>
                <w:rFonts w:ascii="Arial" w:hAnsi="Arial" w:cs="Arial"/>
                <w:sz w:val="18"/>
                <w:szCs w:val="18"/>
                <w:vertAlign w:val="subscript"/>
              </w:rPr>
              <w:t>38</w:t>
            </w:r>
            <w:r w:rsidRPr="0054223B">
              <w:rPr>
                <w:rFonts w:ascii="Arial" w:hAnsi="Arial" w:cs="Arial"/>
                <w:sz w:val="18"/>
                <w:szCs w:val="18"/>
              </w:rPr>
              <w:t>)</w:t>
            </w:r>
          </w:p>
        </w:tc>
      </w:tr>
      <w:tr w:rsidR="004F415E" w:rsidRPr="0054223B" w:rsidTr="00C336A8">
        <w:tc>
          <w:tcPr>
            <w:tcW w:w="1544" w:type="dxa"/>
            <w:vMerge w:val="restart"/>
            <w:tcBorders>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12 DoT</w:t>
            </w:r>
          </w:p>
        </w:tc>
        <w:tc>
          <w:tcPr>
            <w:tcW w:w="1128"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5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-4.8</w:t>
            </w:r>
          </w:p>
        </w:tc>
        <w:tc>
          <w:tcPr>
            <w:tcW w:w="597"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2.4</w:t>
            </w:r>
          </w:p>
        </w:tc>
        <w:tc>
          <w:tcPr>
            <w:tcW w:w="70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0.7</w:t>
            </w:r>
          </w:p>
        </w:tc>
        <w:tc>
          <w:tcPr>
            <w:tcW w:w="7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00" w:type="dxa"/>
            <w:gridSpan w:val="2"/>
            <w:tcBorders>
              <w:top w:val="nil"/>
              <w:left w:val="nil"/>
              <w:bottom w:val="nil"/>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44"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28"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5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-3.2</w:t>
            </w:r>
          </w:p>
        </w:tc>
        <w:tc>
          <w:tcPr>
            <w:tcW w:w="597"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1.0</w:t>
            </w:r>
          </w:p>
        </w:tc>
        <w:tc>
          <w:tcPr>
            <w:tcW w:w="7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-1.6</w:t>
            </w:r>
          </w:p>
        </w:tc>
        <w:tc>
          <w:tcPr>
            <w:tcW w:w="7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00" w:type="dxa"/>
            <w:gridSpan w:val="2"/>
            <w:tcBorders>
              <w:top w:val="nil"/>
              <w:left w:val="nil"/>
              <w:bottom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w:t>
            </w:r>
          </w:p>
        </w:tc>
      </w:tr>
      <w:tr w:rsidR="004F415E" w:rsidRPr="0054223B" w:rsidTr="00C336A8">
        <w:tc>
          <w:tcPr>
            <w:tcW w:w="1544" w:type="dxa"/>
            <w:vMerge/>
            <w:tcBorders>
              <w:left w:val="nil"/>
              <w:bottom w:val="single" w:sz="4" w:space="0" w:color="auto"/>
              <w:right w:val="nil"/>
            </w:tcBorders>
          </w:tcPr>
          <w:p w:rsidR="004F415E" w:rsidRPr="0054223B" w:rsidRDefault="004F415E" w:rsidP="00C336A8">
            <w:pPr>
              <w:jc w:val="center"/>
              <w:rPr>
                <w:rFonts w:ascii="Arial" w:eastAsia="Times New Roman" w:hAnsi="Arial" w:cs="Arial"/>
                <w:sz w:val="18"/>
                <w:szCs w:val="18"/>
                <w:lang w:eastAsia="id-ID"/>
              </w:rPr>
            </w:pPr>
          </w:p>
        </w:tc>
        <w:tc>
          <w:tcPr>
            <w:tcW w:w="1128"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5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-4.8</w:t>
            </w:r>
          </w:p>
        </w:tc>
        <w:tc>
          <w:tcPr>
            <w:tcW w:w="597"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3.0</w:t>
            </w:r>
          </w:p>
        </w:tc>
        <w:tc>
          <w:tcPr>
            <w:tcW w:w="701"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3.6</w:t>
            </w:r>
          </w:p>
        </w:tc>
        <w:tc>
          <w:tcPr>
            <w:tcW w:w="701"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700" w:type="dxa"/>
            <w:gridSpan w:val="2"/>
            <w:tcBorders>
              <w:top w:val="nil"/>
              <w:left w:val="nil"/>
              <w:bottom w:val="single" w:sz="4" w:space="0" w:color="auto"/>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44" w:type="dxa"/>
            <w:vMerge w:val="restart"/>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18 DoT</w:t>
            </w:r>
          </w:p>
        </w:tc>
        <w:tc>
          <w:tcPr>
            <w:tcW w:w="1128"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5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-5.8</w:t>
            </w:r>
          </w:p>
        </w:tc>
        <w:tc>
          <w:tcPr>
            <w:tcW w:w="597"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1.2</w:t>
            </w:r>
          </w:p>
        </w:tc>
        <w:tc>
          <w:tcPr>
            <w:tcW w:w="701"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0.5</w:t>
            </w:r>
          </w:p>
        </w:tc>
        <w:tc>
          <w:tcPr>
            <w:tcW w:w="701"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1700" w:type="dxa"/>
            <w:gridSpan w:val="2"/>
            <w:tcBorders>
              <w:top w:val="single" w:sz="4" w:space="0" w:color="auto"/>
              <w:left w:val="nil"/>
              <w:bottom w:val="nil"/>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44" w:type="dxa"/>
            <w:vMerge/>
            <w:tcBorders>
              <w:top w:val="nil"/>
              <w:left w:val="nil"/>
              <w:bottom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28"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5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-2.9</w:t>
            </w:r>
          </w:p>
        </w:tc>
        <w:tc>
          <w:tcPr>
            <w:tcW w:w="597"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2.0</w:t>
            </w:r>
          </w:p>
        </w:tc>
        <w:tc>
          <w:tcPr>
            <w:tcW w:w="70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4.1</w:t>
            </w:r>
          </w:p>
        </w:tc>
        <w:tc>
          <w:tcPr>
            <w:tcW w:w="701"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700" w:type="dxa"/>
            <w:gridSpan w:val="2"/>
            <w:tcBorders>
              <w:top w:val="nil"/>
              <w:left w:val="nil"/>
              <w:bottom w:val="nil"/>
              <w:right w:val="nil"/>
            </w:tcBorders>
          </w:tcPr>
          <w:p w:rsidR="004F415E" w:rsidRPr="0054223B" w:rsidRDefault="004F415E" w:rsidP="00C336A8">
            <w:pPr>
              <w:jc w:val="center"/>
              <w:rPr>
                <w:rFonts w:ascii="Arial" w:hAnsi="Arial" w:cs="Arial"/>
                <w:sz w:val="18"/>
                <w:szCs w:val="18"/>
              </w:rPr>
            </w:pPr>
            <w:r w:rsidRPr="0054223B">
              <w:rPr>
                <w:rFonts w:ascii="Arial" w:hAnsi="Arial" w:cs="Arial"/>
                <w:sz w:val="18"/>
                <w:szCs w:val="18"/>
              </w:rPr>
              <w:t>-</w:t>
            </w:r>
          </w:p>
        </w:tc>
      </w:tr>
      <w:tr w:rsidR="004F415E" w:rsidRPr="0054223B" w:rsidTr="00C336A8">
        <w:tc>
          <w:tcPr>
            <w:tcW w:w="1544" w:type="dxa"/>
            <w:vMerge/>
            <w:tcBorders>
              <w:top w:val="nil"/>
              <w:left w:val="nil"/>
              <w:bottom w:val="single" w:sz="4" w:space="0" w:color="auto"/>
              <w:right w:val="nil"/>
            </w:tcBorders>
          </w:tcPr>
          <w:p w:rsidR="004F415E" w:rsidRPr="0054223B" w:rsidRDefault="004F415E" w:rsidP="00C336A8">
            <w:pPr>
              <w:jc w:val="center"/>
              <w:rPr>
                <w:rFonts w:ascii="Arial" w:eastAsia="Times New Roman" w:hAnsi="Arial" w:cs="Arial"/>
                <w:sz w:val="18"/>
                <w:szCs w:val="18"/>
                <w:lang w:eastAsia="id-ID"/>
              </w:rPr>
            </w:pPr>
          </w:p>
        </w:tc>
        <w:tc>
          <w:tcPr>
            <w:tcW w:w="1128"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5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-4.9</w:t>
            </w:r>
          </w:p>
        </w:tc>
        <w:tc>
          <w:tcPr>
            <w:tcW w:w="597"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3.4</w:t>
            </w:r>
          </w:p>
        </w:tc>
        <w:tc>
          <w:tcPr>
            <w:tcW w:w="701"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5.6</w:t>
            </w:r>
          </w:p>
        </w:tc>
        <w:tc>
          <w:tcPr>
            <w:tcW w:w="701"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700" w:type="dxa"/>
            <w:gridSpan w:val="2"/>
            <w:tcBorders>
              <w:top w:val="nil"/>
              <w:left w:val="nil"/>
              <w:bottom w:val="single" w:sz="4" w:space="0" w:color="auto"/>
              <w:right w:val="nil"/>
            </w:tcBorders>
          </w:tcPr>
          <w:p w:rsidR="004F415E" w:rsidRPr="0054223B" w:rsidRDefault="004F415E" w:rsidP="00C336A8">
            <w:pPr>
              <w:jc w:val="center"/>
              <w:rPr>
                <w:rFonts w:ascii="Arial" w:hAnsi="Arial" w:cs="Arial"/>
                <w:sz w:val="18"/>
                <w:szCs w:val="18"/>
                <w:vertAlign w:val="superscript"/>
              </w:rPr>
            </w:pPr>
            <w:r w:rsidRPr="0054223B">
              <w:rPr>
                <w:rFonts w:ascii="Arial" w:hAnsi="Arial" w:cs="Arial"/>
                <w:sz w:val="18"/>
                <w:szCs w:val="18"/>
              </w:rPr>
              <w:t>-</w:t>
            </w:r>
          </w:p>
        </w:tc>
      </w:tr>
      <w:tr w:rsidR="004F415E" w:rsidRPr="0054223B" w:rsidTr="00C336A8">
        <w:tc>
          <w:tcPr>
            <w:tcW w:w="1544" w:type="dxa"/>
            <w:vMerge w:val="restart"/>
            <w:tcBorders>
              <w:top w:val="single" w:sz="4" w:space="0" w:color="auto"/>
              <w:left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4 DoR</w:t>
            </w:r>
          </w:p>
        </w:tc>
        <w:tc>
          <w:tcPr>
            <w:tcW w:w="1128" w:type="dxa"/>
            <w:tcBorders>
              <w:top w:val="single" w:sz="4" w:space="0" w:color="auto"/>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-5</w:t>
            </w:r>
          </w:p>
        </w:tc>
        <w:tc>
          <w:tcPr>
            <w:tcW w:w="759"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-9.0</w:t>
            </w:r>
          </w:p>
        </w:tc>
        <w:tc>
          <w:tcPr>
            <w:tcW w:w="597" w:type="dxa"/>
            <w:tcBorders>
              <w:top w:val="single" w:sz="4" w:space="0" w:color="auto"/>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2.4</w:t>
            </w:r>
          </w:p>
        </w:tc>
        <w:tc>
          <w:tcPr>
            <w:tcW w:w="701"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-1.0</w:t>
            </w:r>
          </w:p>
        </w:tc>
        <w:tc>
          <w:tcPr>
            <w:tcW w:w="701"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00" w:type="dxa"/>
            <w:tcBorders>
              <w:top w:val="single" w:sz="4" w:space="0" w:color="auto"/>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-0.1</w:t>
            </w:r>
          </w:p>
        </w:tc>
        <w:tc>
          <w:tcPr>
            <w:tcW w:w="800" w:type="dxa"/>
            <w:tcBorders>
              <w:top w:val="single" w:sz="4" w:space="0" w:color="auto"/>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544"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28" w:type="dxa"/>
            <w:tcBorders>
              <w:top w:val="nil"/>
              <w:left w:val="nil"/>
              <w:bottom w:val="nil"/>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-10</w:t>
            </w:r>
          </w:p>
        </w:tc>
        <w:tc>
          <w:tcPr>
            <w:tcW w:w="759"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-7.6</w:t>
            </w:r>
          </w:p>
        </w:tc>
        <w:tc>
          <w:tcPr>
            <w:tcW w:w="597" w:type="dxa"/>
            <w:tcBorders>
              <w:top w:val="nil"/>
              <w:left w:val="nil"/>
              <w:bottom w:val="nil"/>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1.4</w:t>
            </w:r>
          </w:p>
        </w:tc>
        <w:tc>
          <w:tcPr>
            <w:tcW w:w="7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8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0.6</w:t>
            </w:r>
          </w:p>
        </w:tc>
        <w:tc>
          <w:tcPr>
            <w:tcW w:w="701"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00" w:type="dxa"/>
            <w:tcBorders>
              <w:top w:val="nil"/>
              <w:left w:val="nil"/>
              <w:bottom w:val="nil"/>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1.7</w:t>
            </w:r>
          </w:p>
        </w:tc>
        <w:tc>
          <w:tcPr>
            <w:tcW w:w="800" w:type="dxa"/>
            <w:tcBorders>
              <w:top w:val="nil"/>
              <w:left w:val="nil"/>
              <w:bottom w:val="nil"/>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r w:rsidR="004F415E" w:rsidRPr="0054223B" w:rsidTr="00C336A8">
        <w:tc>
          <w:tcPr>
            <w:tcW w:w="1544" w:type="dxa"/>
            <w:vMerge/>
            <w:tcBorders>
              <w:left w:val="nil"/>
              <w:right w:val="nil"/>
            </w:tcBorders>
          </w:tcPr>
          <w:p w:rsidR="004F415E" w:rsidRPr="0054223B" w:rsidRDefault="004F415E" w:rsidP="00C336A8">
            <w:pPr>
              <w:jc w:val="center"/>
              <w:rPr>
                <w:rFonts w:ascii="Arial" w:eastAsia="Times New Roman" w:hAnsi="Arial" w:cs="Arial"/>
                <w:sz w:val="18"/>
                <w:szCs w:val="18"/>
                <w:lang w:eastAsia="id-ID"/>
              </w:rPr>
            </w:pPr>
          </w:p>
        </w:tc>
        <w:tc>
          <w:tcPr>
            <w:tcW w:w="1128" w:type="dxa"/>
            <w:tcBorders>
              <w:top w:val="nil"/>
              <w:left w:val="nil"/>
              <w:bottom w:val="single" w:sz="4" w:space="0" w:color="auto"/>
              <w:right w:val="nil"/>
            </w:tcBorders>
            <w:vAlign w:val="center"/>
          </w:tcPr>
          <w:p w:rsidR="004F415E" w:rsidRPr="0054223B" w:rsidRDefault="004F415E" w:rsidP="00C336A8">
            <w:pPr>
              <w:jc w:val="center"/>
              <w:rPr>
                <w:rFonts w:ascii="Arial" w:eastAsia="Times New Roman" w:hAnsi="Arial" w:cs="Arial"/>
                <w:sz w:val="18"/>
                <w:szCs w:val="18"/>
                <w:lang w:eastAsia="id-ID"/>
              </w:rPr>
            </w:pPr>
            <w:r w:rsidRPr="0054223B">
              <w:rPr>
                <w:rFonts w:ascii="Arial" w:eastAsia="Times New Roman" w:hAnsi="Arial" w:cs="Arial"/>
                <w:sz w:val="18"/>
                <w:szCs w:val="18"/>
                <w:lang w:eastAsia="id-ID"/>
              </w:rPr>
              <w:t>SWT</w:t>
            </w:r>
            <w:r w:rsidRPr="0054223B">
              <w:rPr>
                <w:rFonts w:ascii="Arial" w:eastAsia="Times New Roman" w:hAnsi="Arial" w:cs="Arial"/>
                <w:sz w:val="18"/>
                <w:szCs w:val="18"/>
                <w:vertAlign w:val="subscript"/>
                <w:lang w:eastAsia="id-ID"/>
              </w:rPr>
              <w:t>-15</w:t>
            </w:r>
          </w:p>
        </w:tc>
        <w:tc>
          <w:tcPr>
            <w:tcW w:w="759"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-7.3</w:t>
            </w:r>
          </w:p>
        </w:tc>
        <w:tc>
          <w:tcPr>
            <w:tcW w:w="597"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100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3.8</w:t>
            </w:r>
          </w:p>
        </w:tc>
        <w:tc>
          <w:tcPr>
            <w:tcW w:w="701" w:type="dxa"/>
            <w:tcBorders>
              <w:top w:val="nil"/>
              <w:left w:val="nil"/>
              <w:bottom w:val="single" w:sz="4" w:space="0" w:color="auto"/>
              <w:right w:val="nil"/>
            </w:tcBorders>
          </w:tcPr>
          <w:p w:rsidR="004F415E" w:rsidRPr="0054223B" w:rsidRDefault="004F415E" w:rsidP="00C336A8">
            <w:pPr>
              <w:rPr>
                <w:rFonts w:ascii="Arial" w:hAnsi="Arial" w:cs="Arial"/>
                <w:sz w:val="18"/>
                <w:szCs w:val="18"/>
              </w:rPr>
            </w:pPr>
            <w:r w:rsidRPr="0054223B">
              <w:rPr>
                <w:rFonts w:ascii="Arial" w:hAnsi="Arial" w:cs="Arial"/>
                <w:sz w:val="18"/>
                <w:szCs w:val="18"/>
              </w:rPr>
              <w:t>*</w:t>
            </w:r>
          </w:p>
        </w:tc>
        <w:tc>
          <w:tcPr>
            <w:tcW w:w="98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2.8</w:t>
            </w:r>
          </w:p>
        </w:tc>
        <w:tc>
          <w:tcPr>
            <w:tcW w:w="701"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c>
          <w:tcPr>
            <w:tcW w:w="900" w:type="dxa"/>
            <w:tcBorders>
              <w:top w:val="nil"/>
              <w:left w:val="nil"/>
              <w:bottom w:val="single" w:sz="4" w:space="0" w:color="auto"/>
              <w:right w:val="nil"/>
            </w:tcBorders>
          </w:tcPr>
          <w:p w:rsidR="004F415E" w:rsidRPr="0054223B" w:rsidRDefault="004F415E" w:rsidP="00C336A8">
            <w:pPr>
              <w:jc w:val="right"/>
              <w:rPr>
                <w:rFonts w:ascii="Arial" w:hAnsi="Arial" w:cs="Arial"/>
                <w:sz w:val="18"/>
                <w:szCs w:val="18"/>
              </w:rPr>
            </w:pPr>
            <w:r w:rsidRPr="0054223B">
              <w:rPr>
                <w:rFonts w:ascii="Arial" w:hAnsi="Arial" w:cs="Arial"/>
                <w:sz w:val="18"/>
                <w:szCs w:val="18"/>
              </w:rPr>
              <w:t>2.7</w:t>
            </w:r>
          </w:p>
        </w:tc>
        <w:tc>
          <w:tcPr>
            <w:tcW w:w="800" w:type="dxa"/>
            <w:tcBorders>
              <w:top w:val="nil"/>
              <w:left w:val="nil"/>
              <w:bottom w:val="single" w:sz="4" w:space="0" w:color="auto"/>
              <w:right w:val="nil"/>
            </w:tcBorders>
          </w:tcPr>
          <w:p w:rsidR="004F415E" w:rsidRPr="0054223B" w:rsidRDefault="004F415E" w:rsidP="00C336A8">
            <w:pPr>
              <w:rPr>
                <w:rFonts w:ascii="Arial" w:hAnsi="Arial" w:cs="Arial"/>
                <w:sz w:val="18"/>
                <w:szCs w:val="18"/>
                <w:vertAlign w:val="superscript"/>
              </w:rPr>
            </w:pPr>
            <w:r w:rsidRPr="0054223B">
              <w:rPr>
                <w:rFonts w:ascii="Arial" w:hAnsi="Arial" w:cs="Arial"/>
                <w:sz w:val="18"/>
                <w:szCs w:val="18"/>
                <w:vertAlign w:val="superscript"/>
              </w:rPr>
              <w:t>ns</w:t>
            </w:r>
          </w:p>
        </w:tc>
      </w:tr>
    </w:tbl>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z)</w:t>
      </w:r>
      <w:r w:rsidRPr="0054223B">
        <w:rPr>
          <w:rFonts w:ascii="Arial" w:hAnsi="Arial" w:cs="Arial"/>
          <w:sz w:val="18"/>
          <w:szCs w:val="18"/>
          <w:vertAlign w:val="superscript"/>
        </w:rPr>
        <w:tab/>
      </w:r>
      <w:r w:rsidRPr="0054223B">
        <w:rPr>
          <w:rFonts w:ascii="Arial" w:hAnsi="Arial" w:cs="Arial"/>
          <w:sz w:val="18"/>
          <w:szCs w:val="18"/>
        </w:rPr>
        <w:t>Measurements were made at 12 DoT, 18 DoT, and 4 DoR; DoT = days after treatment initiation; DoR = days of recovery. Duration of SWT treatment was from 18 DAP to 38 DAP.</w:t>
      </w:r>
    </w:p>
    <w:p w:rsidR="004F415E" w:rsidRPr="0054223B" w:rsidRDefault="004F415E" w:rsidP="004F415E">
      <w:pPr>
        <w:spacing w:before="80" w:after="0" w:line="240" w:lineRule="auto"/>
        <w:ind w:left="187" w:hanging="187"/>
        <w:rPr>
          <w:rFonts w:ascii="Arial" w:hAnsi="Arial" w:cs="Arial"/>
          <w:sz w:val="18"/>
          <w:szCs w:val="18"/>
        </w:rPr>
      </w:pPr>
      <w:r w:rsidRPr="0054223B">
        <w:rPr>
          <w:rFonts w:ascii="Arial" w:hAnsi="Arial" w:cs="Arial"/>
          <w:sz w:val="18"/>
          <w:szCs w:val="18"/>
          <w:vertAlign w:val="superscript"/>
        </w:rPr>
        <w:t>y)</w:t>
      </w:r>
      <w:r w:rsidRPr="0054223B">
        <w:rPr>
          <w:rFonts w:ascii="Arial" w:hAnsi="Arial" w:cs="Arial"/>
          <w:sz w:val="18"/>
          <w:szCs w:val="18"/>
        </w:rPr>
        <w:t xml:space="preserve"> </w:t>
      </w:r>
      <w:r w:rsidRPr="0054223B">
        <w:rPr>
          <w:rFonts w:ascii="Arial" w:hAnsi="Arial" w:cs="Arial"/>
          <w:sz w:val="18"/>
          <w:szCs w:val="18"/>
        </w:rPr>
        <w:tab/>
        <w:t>T</w:t>
      </w:r>
      <w:r w:rsidRPr="0054223B">
        <w:rPr>
          <w:rFonts w:ascii="Arial" w:hAnsi="Arial" w:cs="Arial"/>
          <w:sz w:val="18"/>
          <w:szCs w:val="18"/>
          <w:vertAlign w:val="subscript"/>
        </w:rPr>
        <w:t>14</w:t>
      </w:r>
      <w:r w:rsidRPr="0054223B">
        <w:rPr>
          <w:rFonts w:ascii="Arial" w:hAnsi="Arial" w:cs="Arial"/>
          <w:sz w:val="18"/>
          <w:szCs w:val="18"/>
        </w:rPr>
        <w:t xml:space="preserve"> = at 4 days prior to SWT exposure (at 14 DAP), T</w:t>
      </w:r>
      <w:r w:rsidRPr="0054223B">
        <w:rPr>
          <w:rFonts w:ascii="Arial" w:hAnsi="Arial" w:cs="Arial"/>
          <w:sz w:val="18"/>
          <w:szCs w:val="18"/>
          <w:vertAlign w:val="subscript"/>
        </w:rPr>
        <w:t>28</w:t>
      </w:r>
      <w:r w:rsidRPr="0054223B">
        <w:rPr>
          <w:rFonts w:ascii="Arial" w:hAnsi="Arial" w:cs="Arial"/>
          <w:sz w:val="18"/>
          <w:szCs w:val="18"/>
        </w:rPr>
        <w:t>= at midpoint during the SWT exposure period (at 28 DAP), T</w:t>
      </w:r>
      <w:r w:rsidRPr="0054223B">
        <w:rPr>
          <w:rFonts w:ascii="Arial" w:hAnsi="Arial" w:cs="Arial"/>
          <w:sz w:val="18"/>
          <w:szCs w:val="18"/>
          <w:vertAlign w:val="subscript"/>
        </w:rPr>
        <w:t>38</w:t>
      </w:r>
      <w:r w:rsidRPr="0054223B">
        <w:rPr>
          <w:rFonts w:ascii="Arial" w:hAnsi="Arial" w:cs="Arial"/>
          <w:sz w:val="18"/>
          <w:szCs w:val="18"/>
        </w:rPr>
        <w:t>= at time of SWT exposure was terminated (at 38 DAP)</w:t>
      </w:r>
    </w:p>
    <w:p w:rsidR="004F415E" w:rsidRPr="0054223B" w:rsidRDefault="004F415E" w:rsidP="004F415E">
      <w:pPr>
        <w:rPr>
          <w:rFonts w:ascii="Arial" w:hAnsi="Arial" w:cs="Arial"/>
          <w:sz w:val="20"/>
          <w:szCs w:val="20"/>
        </w:rPr>
      </w:pPr>
      <w:r w:rsidRPr="0054223B">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F415E" w:rsidRPr="0054223B" w:rsidTr="00C336A8">
        <w:tc>
          <w:tcPr>
            <w:tcW w:w="9350" w:type="dxa"/>
          </w:tcPr>
          <w:p w:rsidR="004F415E" w:rsidRPr="0054223B" w:rsidRDefault="004F415E" w:rsidP="00C336A8">
            <w:pPr>
              <w:rPr>
                <w:rFonts w:ascii="Arial" w:hAnsi="Arial" w:cs="Arial"/>
                <w:sz w:val="20"/>
                <w:szCs w:val="20"/>
              </w:rPr>
            </w:pPr>
            <w:r w:rsidRPr="0054223B">
              <w:rPr>
                <w:rFonts w:ascii="Arial" w:hAnsi="Arial" w:cs="Arial"/>
                <w:noProof/>
                <w:sz w:val="20"/>
                <w:szCs w:val="20"/>
              </w:rPr>
              <w:lastRenderedPageBreak/>
              <w:drawing>
                <wp:inline distT="0" distB="0" distL="0" distR="0" wp14:anchorId="31B72245" wp14:editId="59AA7F97">
                  <wp:extent cx="5663096" cy="232207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728" cy="2331768"/>
                          </a:xfrm>
                          <a:prstGeom prst="rect">
                            <a:avLst/>
                          </a:prstGeom>
                          <a:noFill/>
                        </pic:spPr>
                      </pic:pic>
                    </a:graphicData>
                  </a:graphic>
                </wp:inline>
              </w:drawing>
            </w:r>
          </w:p>
        </w:tc>
      </w:tr>
      <w:tr w:rsidR="004F415E" w:rsidRPr="0054223B" w:rsidTr="00C336A8">
        <w:tc>
          <w:tcPr>
            <w:tcW w:w="9350" w:type="dxa"/>
          </w:tcPr>
          <w:p w:rsidR="004F415E" w:rsidRPr="0054223B" w:rsidRDefault="004F415E" w:rsidP="00C336A8">
            <w:pPr>
              <w:rPr>
                <w:rFonts w:ascii="Arial" w:hAnsi="Arial" w:cs="Arial"/>
                <w:sz w:val="20"/>
                <w:szCs w:val="20"/>
              </w:rPr>
            </w:pPr>
            <w:r w:rsidRPr="0054223B">
              <w:rPr>
                <w:rFonts w:ascii="Arial" w:hAnsi="Arial" w:cs="Arial"/>
                <w:noProof/>
                <w:sz w:val="20"/>
                <w:szCs w:val="20"/>
                <w:lang w:eastAsia="id-ID"/>
              </w:rPr>
              <w:drawing>
                <wp:inline distT="0" distB="0" distL="0" distR="0" wp14:anchorId="7CEDAB7A" wp14:editId="44D86F8A">
                  <wp:extent cx="5698435" cy="2058504"/>
                  <wp:effectExtent l="0" t="0" r="0" b="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F415E" w:rsidRPr="0054223B" w:rsidTr="00C336A8">
        <w:tc>
          <w:tcPr>
            <w:tcW w:w="9350" w:type="dxa"/>
          </w:tcPr>
          <w:p w:rsidR="004F415E" w:rsidRPr="0054223B" w:rsidRDefault="004F415E" w:rsidP="00D04DDE">
            <w:pPr>
              <w:jc w:val="center"/>
              <w:rPr>
                <w:rFonts w:ascii="Arial" w:hAnsi="Arial" w:cs="Arial"/>
                <w:sz w:val="20"/>
                <w:szCs w:val="20"/>
              </w:rPr>
            </w:pPr>
            <w:r w:rsidRPr="0054223B">
              <w:rPr>
                <w:rFonts w:ascii="Arial" w:hAnsi="Arial" w:cs="Arial"/>
                <w:noProof/>
                <w:sz w:val="20"/>
                <w:szCs w:val="20"/>
              </w:rPr>
              <w:drawing>
                <wp:inline distT="0" distB="0" distL="0" distR="0" wp14:anchorId="3E3BE3AA" wp14:editId="1A99C521">
                  <wp:extent cx="4616450" cy="24907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934" cy="2527201"/>
                          </a:xfrm>
                          <a:prstGeom prst="rect">
                            <a:avLst/>
                          </a:prstGeom>
                          <a:noFill/>
                        </pic:spPr>
                      </pic:pic>
                    </a:graphicData>
                  </a:graphic>
                </wp:inline>
              </w:drawing>
            </w:r>
          </w:p>
        </w:tc>
      </w:tr>
    </w:tbl>
    <w:p w:rsidR="00B831E5" w:rsidRPr="00D04DDE" w:rsidRDefault="004F415E" w:rsidP="00D04DDE">
      <w:pPr>
        <w:spacing w:before="120" w:after="120" w:line="240" w:lineRule="auto"/>
        <w:ind w:left="907" w:hanging="907"/>
        <w:rPr>
          <w:rFonts w:ascii="Arial" w:hAnsi="Arial" w:cs="Arial"/>
          <w:sz w:val="20"/>
          <w:szCs w:val="20"/>
          <w:lang w:val="en-US"/>
        </w:rPr>
      </w:pPr>
      <w:r w:rsidRPr="0054223B">
        <w:rPr>
          <w:rFonts w:ascii="Arial" w:hAnsi="Arial" w:cs="Arial"/>
          <w:sz w:val="20"/>
          <w:szCs w:val="20"/>
        </w:rPr>
        <w:t>Figure 1.</w:t>
      </w:r>
      <w:r w:rsidRPr="0054223B">
        <w:rPr>
          <w:rFonts w:ascii="Arial" w:hAnsi="Arial" w:cs="Arial"/>
          <w:sz w:val="20"/>
          <w:szCs w:val="20"/>
        </w:rPr>
        <w:tab/>
        <w:t>Proline contents measured after 12 days (A) and 18 days of SWT exposure (B), and after 4 days of recovery (C) in bean plants subjected to different water table regimes of -5 cm (SWT</w:t>
      </w:r>
      <w:r w:rsidRPr="0054223B">
        <w:rPr>
          <w:rFonts w:ascii="Arial" w:hAnsi="Arial" w:cs="Arial"/>
          <w:sz w:val="20"/>
          <w:szCs w:val="20"/>
          <w:vertAlign w:val="subscript"/>
        </w:rPr>
        <w:t>-5</w:t>
      </w:r>
      <w:r w:rsidRPr="0054223B">
        <w:rPr>
          <w:rFonts w:ascii="Arial" w:hAnsi="Arial" w:cs="Arial"/>
          <w:sz w:val="20"/>
          <w:szCs w:val="20"/>
        </w:rPr>
        <w:t>), -10 cm (SWT</w:t>
      </w:r>
      <w:r w:rsidRPr="0054223B">
        <w:rPr>
          <w:rFonts w:ascii="Arial" w:hAnsi="Arial" w:cs="Arial"/>
          <w:sz w:val="20"/>
          <w:szCs w:val="20"/>
          <w:vertAlign w:val="subscript"/>
        </w:rPr>
        <w:t>-10</w:t>
      </w:r>
      <w:r w:rsidRPr="0054223B">
        <w:rPr>
          <w:rFonts w:ascii="Arial" w:hAnsi="Arial" w:cs="Arial"/>
          <w:sz w:val="20"/>
          <w:szCs w:val="20"/>
        </w:rPr>
        <w:t>) and -15 cm (SWT</w:t>
      </w:r>
      <w:r w:rsidRPr="0054223B">
        <w:rPr>
          <w:rFonts w:ascii="Arial" w:hAnsi="Arial" w:cs="Arial"/>
          <w:sz w:val="20"/>
          <w:szCs w:val="20"/>
          <w:vertAlign w:val="subscript"/>
        </w:rPr>
        <w:t>-15</w:t>
      </w:r>
      <w:r w:rsidRPr="0054223B">
        <w:rPr>
          <w:rFonts w:ascii="Arial" w:hAnsi="Arial" w:cs="Arial"/>
          <w:sz w:val="20"/>
          <w:szCs w:val="20"/>
        </w:rPr>
        <w:t>) and different time of ALA application at 14 DAP (T</w:t>
      </w:r>
      <w:r w:rsidRPr="0054223B">
        <w:rPr>
          <w:rFonts w:ascii="Arial" w:hAnsi="Arial" w:cs="Arial"/>
          <w:sz w:val="20"/>
          <w:szCs w:val="20"/>
          <w:vertAlign w:val="subscript"/>
        </w:rPr>
        <w:t>14</w:t>
      </w:r>
      <w:r w:rsidRPr="0054223B">
        <w:rPr>
          <w:rFonts w:ascii="Arial" w:hAnsi="Arial" w:cs="Arial"/>
          <w:sz w:val="20"/>
          <w:szCs w:val="20"/>
        </w:rPr>
        <w:t>), 28 DAP (T</w:t>
      </w:r>
      <w:r w:rsidRPr="0054223B">
        <w:rPr>
          <w:rFonts w:ascii="Arial" w:hAnsi="Arial" w:cs="Arial"/>
          <w:sz w:val="20"/>
          <w:szCs w:val="20"/>
          <w:vertAlign w:val="subscript"/>
        </w:rPr>
        <w:t>28</w:t>
      </w:r>
      <w:r w:rsidRPr="0054223B">
        <w:rPr>
          <w:rFonts w:ascii="Arial" w:hAnsi="Arial" w:cs="Arial"/>
          <w:sz w:val="20"/>
          <w:szCs w:val="20"/>
        </w:rPr>
        <w:t>), and 38 DAP (T</w:t>
      </w:r>
      <w:r w:rsidRPr="0054223B">
        <w:rPr>
          <w:rFonts w:ascii="Arial" w:hAnsi="Arial" w:cs="Arial"/>
          <w:sz w:val="20"/>
          <w:szCs w:val="20"/>
          <w:vertAlign w:val="subscript"/>
        </w:rPr>
        <w:t>38</w:t>
      </w:r>
      <w:r w:rsidRPr="0054223B">
        <w:rPr>
          <w:rFonts w:ascii="Arial" w:hAnsi="Arial" w:cs="Arial"/>
          <w:sz w:val="20"/>
          <w:szCs w:val="20"/>
        </w:rPr>
        <w:t>)</w:t>
      </w:r>
      <w:r w:rsidR="00D04DDE">
        <w:rPr>
          <w:rFonts w:ascii="Arial" w:hAnsi="Arial" w:cs="Arial"/>
          <w:sz w:val="20"/>
          <w:szCs w:val="20"/>
          <w:lang w:val="en-US"/>
        </w:rPr>
        <w:t>.</w:t>
      </w:r>
    </w:p>
    <w:sectPr w:rsidR="00B831E5" w:rsidRPr="00D04DDE" w:rsidSect="00405E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952" w:rsidRDefault="003D5952" w:rsidP="00A15B14">
      <w:pPr>
        <w:spacing w:after="0" w:line="240" w:lineRule="auto"/>
      </w:pPr>
      <w:r>
        <w:separator/>
      </w:r>
    </w:p>
  </w:endnote>
  <w:endnote w:type="continuationSeparator" w:id="0">
    <w:p w:rsidR="003D5952" w:rsidRDefault="003D5952" w:rsidP="00A1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1" w:rsidRDefault="0030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425243"/>
      <w:docPartObj>
        <w:docPartGallery w:val="Page Numbers (Bottom of Page)"/>
        <w:docPartUnique/>
      </w:docPartObj>
    </w:sdtPr>
    <w:sdtEndPr>
      <w:rPr>
        <w:noProof/>
      </w:rPr>
    </w:sdtEndPr>
    <w:sdtContent>
      <w:bookmarkStart w:id="5" w:name="_GoBack" w:displacedByCustomXml="prev"/>
      <w:bookmarkEnd w:id="5" w:displacedByCustomXml="prev"/>
      <w:p w:rsidR="00305421" w:rsidRDefault="00305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5421" w:rsidRDefault="0030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1" w:rsidRDefault="0030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952" w:rsidRDefault="003D5952" w:rsidP="00A15B14">
      <w:pPr>
        <w:spacing w:after="0" w:line="240" w:lineRule="auto"/>
      </w:pPr>
      <w:r>
        <w:separator/>
      </w:r>
    </w:p>
  </w:footnote>
  <w:footnote w:type="continuationSeparator" w:id="0">
    <w:p w:rsidR="003D5952" w:rsidRDefault="003D5952" w:rsidP="00A15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1" w:rsidRDefault="0030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1" w:rsidRDefault="0030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1" w:rsidRDefault="003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2FC7"/>
    <w:multiLevelType w:val="hybridMultilevel"/>
    <w:tmpl w:val="762AC032"/>
    <w:lvl w:ilvl="0" w:tplc="E6D65B94">
      <w:start w:val="1"/>
      <w:numFmt w:val="decimal"/>
      <w:lvlText w:val="%1)"/>
      <w:lvlJc w:val="left"/>
      <w:pPr>
        <w:ind w:left="1077" w:hanging="360"/>
      </w:pPr>
      <w:rPr>
        <w:rFonts w:ascii="Arial" w:eastAsiaTheme="minorEastAsia" w:hAnsi="Arial" w:cs="Arial"/>
        <w:vertAlign w:val="superscrip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15:restartNumberingAfterBreak="0">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5DF5BA7"/>
    <w:multiLevelType w:val="hybridMultilevel"/>
    <w:tmpl w:val="CC0EF0E6"/>
    <w:lvl w:ilvl="0" w:tplc="3AF43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22A97"/>
    <w:multiLevelType w:val="hybridMultilevel"/>
    <w:tmpl w:val="FA683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04D2A"/>
    <w:multiLevelType w:val="hybridMultilevel"/>
    <w:tmpl w:val="762AC032"/>
    <w:lvl w:ilvl="0" w:tplc="E6D65B94">
      <w:start w:val="1"/>
      <w:numFmt w:val="decimal"/>
      <w:lvlText w:val="%1)"/>
      <w:lvlJc w:val="left"/>
      <w:pPr>
        <w:ind w:left="1077" w:hanging="360"/>
      </w:pPr>
      <w:rPr>
        <w:rFonts w:ascii="Arial" w:eastAsiaTheme="minorEastAsia" w:hAnsi="Arial" w:cs="Arial"/>
        <w:vertAlign w:val="superscrip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2F"/>
    <w:rsid w:val="000C55BC"/>
    <w:rsid w:val="00121D44"/>
    <w:rsid w:val="00217969"/>
    <w:rsid w:val="00305421"/>
    <w:rsid w:val="003D5952"/>
    <w:rsid w:val="003E4744"/>
    <w:rsid w:val="00405E6D"/>
    <w:rsid w:val="004C4342"/>
    <w:rsid w:val="004F415E"/>
    <w:rsid w:val="004F6F2F"/>
    <w:rsid w:val="00650F74"/>
    <w:rsid w:val="0068096C"/>
    <w:rsid w:val="006D6518"/>
    <w:rsid w:val="00761F6C"/>
    <w:rsid w:val="00863D22"/>
    <w:rsid w:val="009711D2"/>
    <w:rsid w:val="00A15B14"/>
    <w:rsid w:val="00B831E5"/>
    <w:rsid w:val="00C336A8"/>
    <w:rsid w:val="00C7055C"/>
    <w:rsid w:val="00D0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C641"/>
  <w15:chartTrackingRefBased/>
  <w15:docId w15:val="{B109E9E5-4714-4B2C-890B-DA5D37BB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F2F"/>
    <w:pPr>
      <w:spacing w:after="200" w:line="276" w:lineRule="auto"/>
    </w:pPr>
    <w:rPr>
      <w:rFonts w:eastAsiaTheme="minorEastAsia"/>
      <w:lang w:val="id-ID"/>
    </w:rPr>
  </w:style>
  <w:style w:type="paragraph" w:styleId="Heading1">
    <w:name w:val="heading 1"/>
    <w:basedOn w:val="Normal"/>
    <w:next w:val="Normal"/>
    <w:link w:val="Heading1Char"/>
    <w:uiPriority w:val="9"/>
    <w:qFormat/>
    <w:rsid w:val="004F415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F415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2F"/>
    <w:pPr>
      <w:ind w:left="720"/>
      <w:contextualSpacing/>
    </w:pPr>
  </w:style>
  <w:style w:type="paragraph" w:styleId="NormalWeb">
    <w:name w:val="Normal (Web)"/>
    <w:basedOn w:val="Normal"/>
    <w:link w:val="NormalWebChar"/>
    <w:uiPriority w:val="99"/>
    <w:rsid w:val="004F6F2F"/>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uiPriority w:val="99"/>
    <w:locked/>
    <w:rsid w:val="004F6F2F"/>
    <w:rPr>
      <w:rFonts w:ascii="Times New Roman" w:eastAsia="Times New Roman" w:hAnsi="Times New Roman" w:cs="Times New Roman"/>
      <w:sz w:val="24"/>
      <w:szCs w:val="20"/>
      <w:lang w:val="id-ID"/>
    </w:rPr>
  </w:style>
  <w:style w:type="character" w:styleId="Hyperlink">
    <w:name w:val="Hyperlink"/>
    <w:basedOn w:val="DefaultParagraphFont"/>
    <w:uiPriority w:val="99"/>
    <w:unhideWhenUsed/>
    <w:rsid w:val="003E4744"/>
    <w:rPr>
      <w:color w:val="0000FF"/>
      <w:u w:val="single"/>
    </w:rPr>
  </w:style>
  <w:style w:type="character" w:customStyle="1" w:styleId="Heading1Char">
    <w:name w:val="Heading 1 Char"/>
    <w:basedOn w:val="DefaultParagraphFont"/>
    <w:link w:val="Heading1"/>
    <w:uiPriority w:val="9"/>
    <w:rsid w:val="004F415E"/>
    <w:rPr>
      <w:rFonts w:asciiTheme="majorHAnsi" w:eastAsiaTheme="majorEastAsia" w:hAnsiTheme="majorHAnsi" w:cstheme="majorBidi"/>
      <w:b/>
      <w:bCs/>
      <w:color w:val="2F5496" w:themeColor="accent1" w:themeShade="BF"/>
      <w:sz w:val="28"/>
      <w:szCs w:val="28"/>
      <w:lang w:val="id-ID"/>
    </w:rPr>
  </w:style>
  <w:style w:type="character" w:customStyle="1" w:styleId="Heading2Char">
    <w:name w:val="Heading 2 Char"/>
    <w:basedOn w:val="DefaultParagraphFont"/>
    <w:link w:val="Heading2"/>
    <w:uiPriority w:val="9"/>
    <w:rsid w:val="004F415E"/>
    <w:rPr>
      <w:rFonts w:ascii="Times New Roman" w:eastAsia="Times New Roman" w:hAnsi="Times New Roman" w:cs="Times New Roman"/>
      <w:b/>
      <w:bCs/>
      <w:sz w:val="36"/>
      <w:szCs w:val="36"/>
      <w:lang w:val="id-ID" w:eastAsia="id-ID"/>
    </w:rPr>
  </w:style>
  <w:style w:type="table" w:styleId="TableGrid">
    <w:name w:val="Table Grid"/>
    <w:basedOn w:val="TableNormal"/>
    <w:uiPriority w:val="59"/>
    <w:rsid w:val="004F41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15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F415E"/>
    <w:rPr>
      <w:rFonts w:ascii="Tahoma" w:eastAsiaTheme="minorEastAsia" w:hAnsi="Tahoma" w:cs="Tahoma"/>
      <w:sz w:val="16"/>
      <w:szCs w:val="16"/>
    </w:rPr>
  </w:style>
  <w:style w:type="character" w:customStyle="1" w:styleId="addmd">
    <w:name w:val="addmd"/>
    <w:basedOn w:val="DefaultParagraphFont"/>
    <w:rsid w:val="004F415E"/>
  </w:style>
  <w:style w:type="character" w:customStyle="1" w:styleId="cit">
    <w:name w:val="cit"/>
    <w:basedOn w:val="DefaultParagraphFont"/>
    <w:rsid w:val="004F415E"/>
  </w:style>
  <w:style w:type="character" w:customStyle="1" w:styleId="doi">
    <w:name w:val="doi"/>
    <w:basedOn w:val="DefaultParagraphFont"/>
    <w:rsid w:val="004F415E"/>
  </w:style>
  <w:style w:type="character" w:styleId="UnresolvedMention">
    <w:name w:val="Unresolved Mention"/>
    <w:basedOn w:val="DefaultParagraphFont"/>
    <w:uiPriority w:val="99"/>
    <w:semiHidden/>
    <w:unhideWhenUsed/>
    <w:rsid w:val="004F415E"/>
    <w:rPr>
      <w:color w:val="605E5C"/>
      <w:shd w:val="clear" w:color="auto" w:fill="E1DFDD"/>
    </w:rPr>
  </w:style>
  <w:style w:type="character" w:styleId="LineNumber">
    <w:name w:val="line number"/>
    <w:basedOn w:val="DefaultParagraphFont"/>
    <w:uiPriority w:val="99"/>
    <w:semiHidden/>
    <w:unhideWhenUsed/>
    <w:rsid w:val="00405E6D"/>
  </w:style>
  <w:style w:type="paragraph" w:styleId="Header">
    <w:name w:val="header"/>
    <w:basedOn w:val="Normal"/>
    <w:link w:val="HeaderChar"/>
    <w:uiPriority w:val="99"/>
    <w:unhideWhenUsed/>
    <w:rsid w:val="00A15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14"/>
    <w:rPr>
      <w:rFonts w:eastAsiaTheme="minorEastAsia"/>
      <w:lang w:val="id-ID"/>
    </w:rPr>
  </w:style>
  <w:style w:type="paragraph" w:styleId="Footer">
    <w:name w:val="footer"/>
    <w:basedOn w:val="Normal"/>
    <w:link w:val="FooterChar"/>
    <w:uiPriority w:val="99"/>
    <w:unhideWhenUsed/>
    <w:rsid w:val="00A15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14"/>
    <w:rPr>
      <w:rFonts w:eastAsiaTheme="minorEastAsia"/>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Blumwald%20E%5BAuthor%5D&amp;cauthor=true&amp;cauthor_uid=2899232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Lap%20Disertasi-haris-2019\strip%20plot%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0"/>
              <a:t>B</a:t>
            </a:r>
          </a:p>
        </c:rich>
      </c:tx>
      <c:layout>
        <c:manualLayout>
          <c:xMode val="edge"/>
          <c:yMode val="edge"/>
          <c:x val="0.12623802377929125"/>
          <c:y val="2.5720164609053499E-2"/>
        </c:manualLayout>
      </c:layout>
      <c:overlay val="0"/>
    </c:title>
    <c:autoTitleDeleted val="0"/>
    <c:plotArea>
      <c:layout>
        <c:manualLayout>
          <c:layoutTarget val="inner"/>
          <c:xMode val="edge"/>
          <c:yMode val="edge"/>
          <c:x val="0.1173518293475465"/>
          <c:y val="4.7601658488341136E-2"/>
          <c:w val="0.843659294983371"/>
          <c:h val="0.82785508588919987"/>
        </c:manualLayout>
      </c:layout>
      <c:barChart>
        <c:barDir val="col"/>
        <c:grouping val="clustered"/>
        <c:varyColors val="0"/>
        <c:ser>
          <c:idx val="0"/>
          <c:order val="0"/>
          <c:spPr>
            <a:pattFill prst="dkDnDiag">
              <a:fgClr>
                <a:schemeClr val="tx1"/>
              </a:fgClr>
              <a:bgClr>
                <a:schemeClr val="bg1"/>
              </a:bgClr>
            </a:pattFill>
            <a:ln w="12700">
              <a:solidFill>
                <a:schemeClr val="tx1"/>
              </a:solidFill>
            </a:ln>
          </c:spPr>
          <c:invertIfNegative val="0"/>
          <c:dLbls>
            <c:spPr>
              <a:solidFill>
                <a:schemeClr val="bg1"/>
              </a:solid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plus"/>
            <c:errValType val="cust"/>
            <c:noEndCap val="0"/>
            <c:plus>
              <c:numRef>
                <c:f>'proline-36 DAP'!$K$58:$K$63</c:f>
                <c:numCache>
                  <c:formatCode>General</c:formatCode>
                  <c:ptCount val="6"/>
                  <c:pt idx="0">
                    <c:v>4.9603007278977594E-3</c:v>
                  </c:pt>
                  <c:pt idx="1">
                    <c:v>3.6046164492920417E-3</c:v>
                  </c:pt>
                  <c:pt idx="2">
                    <c:v>2.6180039183092158E-2</c:v>
                  </c:pt>
                  <c:pt idx="3">
                    <c:v>1.0782681369302975E-3</c:v>
                  </c:pt>
                  <c:pt idx="4">
                    <c:v>1.9833105431629389E-2</c:v>
                  </c:pt>
                  <c:pt idx="5">
                    <c:v>8.0863804362298567E-3</c:v>
                  </c:pt>
                </c:numCache>
              </c:numRef>
            </c:plus>
            <c:minus>
              <c:numRef>
                <c:f>'proline-36 DAP'!$K$58:$K$63</c:f>
                <c:numCache>
                  <c:formatCode>General</c:formatCode>
                  <c:ptCount val="6"/>
                  <c:pt idx="0">
                    <c:v>4.9603007278977594E-3</c:v>
                  </c:pt>
                  <c:pt idx="1">
                    <c:v>3.6046164492920417E-3</c:v>
                  </c:pt>
                  <c:pt idx="2">
                    <c:v>2.6180039183092158E-2</c:v>
                  </c:pt>
                  <c:pt idx="3">
                    <c:v>1.0782681369302975E-3</c:v>
                  </c:pt>
                  <c:pt idx="4">
                    <c:v>1.9833105431629389E-2</c:v>
                  </c:pt>
                  <c:pt idx="5">
                    <c:v>8.0863804362298567E-3</c:v>
                  </c:pt>
                </c:numCache>
              </c:numRef>
            </c:minus>
            <c:spPr>
              <a:ln w="19050"/>
            </c:spPr>
          </c:errBars>
          <c:cat>
            <c:strRef>
              <c:f>'proline-36 DAP'!$I$58:$I$63</c:f>
              <c:strCache>
                <c:ptCount val="6"/>
                <c:pt idx="0">
                  <c:v>SWT-5T14</c:v>
                </c:pt>
                <c:pt idx="1">
                  <c:v>SWT-5T28</c:v>
                </c:pt>
                <c:pt idx="2">
                  <c:v>SWT-10T14</c:v>
                </c:pt>
                <c:pt idx="3">
                  <c:v>SWT-10T28</c:v>
                </c:pt>
                <c:pt idx="4">
                  <c:v>SWT-15T14</c:v>
                </c:pt>
                <c:pt idx="5">
                  <c:v>SWT-15T28</c:v>
                </c:pt>
              </c:strCache>
            </c:strRef>
          </c:cat>
          <c:val>
            <c:numRef>
              <c:f>'proline-36 DAP'!$J$58:$J$63</c:f>
              <c:numCache>
                <c:formatCode>0.000</c:formatCode>
                <c:ptCount val="6"/>
                <c:pt idx="0">
                  <c:v>0.17802514945372144</c:v>
                </c:pt>
                <c:pt idx="1">
                  <c:v>0.16206967635539071</c:v>
                </c:pt>
                <c:pt idx="2">
                  <c:v>0.19921665635951347</c:v>
                </c:pt>
                <c:pt idx="3">
                  <c:v>0.22659245516388374</c:v>
                </c:pt>
                <c:pt idx="4">
                  <c:v>0.17592249020820491</c:v>
                </c:pt>
                <c:pt idx="5">
                  <c:v>0.19760874046588331</c:v>
                </c:pt>
              </c:numCache>
            </c:numRef>
          </c:val>
          <c:extLst>
            <c:ext xmlns:c16="http://schemas.microsoft.com/office/drawing/2014/chart" uri="{C3380CC4-5D6E-409C-BE32-E72D297353CC}">
              <c16:uniqueId val="{00000000-9703-456E-8FBF-75FB975444C5}"/>
            </c:ext>
          </c:extLst>
        </c:ser>
        <c:dLbls>
          <c:dLblPos val="inEnd"/>
          <c:showLegendKey val="0"/>
          <c:showVal val="1"/>
          <c:showCatName val="0"/>
          <c:showSerName val="0"/>
          <c:showPercent val="0"/>
          <c:showBubbleSize val="0"/>
        </c:dLbls>
        <c:gapWidth val="150"/>
        <c:axId val="57824000"/>
        <c:axId val="57825920"/>
      </c:barChart>
      <c:catAx>
        <c:axId val="57824000"/>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lang="en-US" sz="1100">
                <a:latin typeface="+mn-lt"/>
                <a:cs typeface="Arial" pitchFamily="34" charset="0"/>
              </a:defRPr>
            </a:pPr>
            <a:endParaRPr lang="en-US"/>
          </a:p>
        </c:txPr>
        <c:crossAx val="57825920"/>
        <c:crosses val="autoZero"/>
        <c:auto val="1"/>
        <c:lblAlgn val="ctr"/>
        <c:lblOffset val="100"/>
        <c:noMultiLvlLbl val="0"/>
      </c:catAx>
      <c:valAx>
        <c:axId val="57825920"/>
        <c:scaling>
          <c:orientation val="minMax"/>
        </c:scaling>
        <c:delete val="0"/>
        <c:axPos val="l"/>
        <c:title>
          <c:tx>
            <c:rich>
              <a:bodyPr/>
              <a:lstStyle/>
              <a:p>
                <a:pPr>
                  <a:defRPr/>
                </a:pPr>
                <a:r>
                  <a:rPr lang="id-ID" sz="1200" b="0" i="0" baseline="0">
                    <a:effectLst/>
                  </a:rPr>
                  <a:t>Proline</a:t>
                </a:r>
                <a:r>
                  <a:rPr lang="en-US" sz="1200" b="1" i="0" baseline="0">
                    <a:effectLst/>
                  </a:rPr>
                  <a:t> </a:t>
                </a:r>
                <a:r>
                  <a:rPr lang="id-ID" sz="1200" b="0" i="0" baseline="0">
                    <a:effectLst/>
                  </a:rPr>
                  <a:t>(µmol g</a:t>
                </a:r>
                <a:r>
                  <a:rPr lang="id-ID" sz="1200" b="0" i="0" baseline="30000">
                    <a:effectLst/>
                  </a:rPr>
                  <a:t>-1</a:t>
                </a:r>
                <a:r>
                  <a:rPr lang="id-ID" sz="1200" b="0" i="0" baseline="0">
                    <a:effectLst/>
                  </a:rPr>
                  <a:t>)</a:t>
                </a:r>
                <a:endParaRPr lang="en-US" sz="1200">
                  <a:effectLst/>
                </a:endParaRPr>
              </a:p>
            </c:rich>
          </c:tx>
          <c:layout>
            <c:manualLayout>
              <c:xMode val="edge"/>
              <c:yMode val="edge"/>
              <c:x val="9.7145885160984191E-4"/>
              <c:y val="0.15548862617635498"/>
            </c:manualLayout>
          </c:layout>
          <c:overlay val="0"/>
        </c:title>
        <c:numFmt formatCode="0.00" sourceLinked="0"/>
        <c:majorTickMark val="out"/>
        <c:minorTickMark val="none"/>
        <c:tickLblPos val="nextTo"/>
        <c:spPr>
          <a:ln w="19050">
            <a:solidFill>
              <a:schemeClr val="tx1"/>
            </a:solidFill>
          </a:ln>
        </c:spPr>
        <c:txPr>
          <a:bodyPr/>
          <a:lstStyle/>
          <a:p>
            <a:pPr>
              <a:defRPr lang="en-US" sz="1100">
                <a:latin typeface="+mn-lt"/>
                <a:cs typeface="Arial" pitchFamily="34" charset="0"/>
              </a:defRPr>
            </a:pPr>
            <a:endParaRPr lang="en-US"/>
          </a:p>
        </c:txPr>
        <c:crossAx val="57824000"/>
        <c:crosses val="autoZero"/>
        <c:crossBetween val="between"/>
        <c:majorUnit val="5.000000000000001E-2"/>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0.2674</cdr:x>
      <cdr:y>0.16575</cdr:y>
    </cdr:from>
    <cdr:to>
      <cdr:x>0.31721</cdr:x>
      <cdr:y>0.26441</cdr:y>
    </cdr:to>
    <cdr:sp macro="" textlink="">
      <cdr:nvSpPr>
        <cdr:cNvPr id="2" name="TextBox 1"/>
        <cdr:cNvSpPr txBox="1"/>
      </cdr:nvSpPr>
      <cdr:spPr>
        <a:xfrm xmlns:a="http://schemas.openxmlformats.org/drawingml/2006/main">
          <a:off x="1426978" y="446568"/>
          <a:ext cx="265813" cy="2658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0.34559</cdr:x>
      <cdr:y>0.17818</cdr:y>
    </cdr:from>
    <cdr:to>
      <cdr:x>0.41031</cdr:x>
      <cdr:y>0.28</cdr:y>
    </cdr:to>
    <cdr:sp macro="" textlink="">
      <cdr:nvSpPr>
        <cdr:cNvPr id="3" name="TextBox 2"/>
        <cdr:cNvSpPr txBox="1"/>
      </cdr:nvSpPr>
      <cdr:spPr>
        <a:xfrm xmlns:a="http://schemas.openxmlformats.org/drawingml/2006/main">
          <a:off x="1873545" y="520996"/>
          <a:ext cx="350874" cy="2977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0.30603</cdr:x>
      <cdr:y>0.18696</cdr:y>
    </cdr:from>
    <cdr:to>
      <cdr:x>0.36683</cdr:x>
      <cdr:y>0.32481</cdr:y>
    </cdr:to>
    <cdr:sp macro="" textlink="">
      <cdr:nvSpPr>
        <cdr:cNvPr id="4" name="TextBox 3"/>
        <cdr:cNvSpPr txBox="1"/>
      </cdr:nvSpPr>
      <cdr:spPr>
        <a:xfrm xmlns:a="http://schemas.openxmlformats.org/drawingml/2006/main">
          <a:off x="1790916" y="417773"/>
          <a:ext cx="355812" cy="3080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d</a:t>
          </a:r>
        </a:p>
      </cdr:txBody>
    </cdr:sp>
  </cdr:relSizeAnchor>
  <cdr:relSizeAnchor xmlns:cdr="http://schemas.openxmlformats.org/drawingml/2006/chartDrawing">
    <cdr:from>
      <cdr:x>0.44916</cdr:x>
      <cdr:y>0.01905</cdr:y>
    </cdr:from>
    <cdr:to>
      <cdr:x>0.49121</cdr:x>
      <cdr:y>0.11765</cdr:y>
    </cdr:to>
    <cdr:sp macro="" textlink="">
      <cdr:nvSpPr>
        <cdr:cNvPr id="5" name="TextBox 4"/>
        <cdr:cNvSpPr txBox="1"/>
      </cdr:nvSpPr>
      <cdr:spPr>
        <a:xfrm xmlns:a="http://schemas.openxmlformats.org/drawingml/2006/main">
          <a:off x="2628553" y="42567"/>
          <a:ext cx="246091" cy="2203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b</a:t>
          </a:r>
        </a:p>
      </cdr:txBody>
    </cdr:sp>
  </cdr:relSizeAnchor>
  <cdr:relSizeAnchor xmlns:cdr="http://schemas.openxmlformats.org/drawingml/2006/chartDrawing">
    <cdr:from>
      <cdr:x>0.58959</cdr:x>
      <cdr:y>0.00865</cdr:y>
    </cdr:from>
    <cdr:to>
      <cdr:x>0.62939</cdr:x>
      <cdr:y>0.12788</cdr:y>
    </cdr:to>
    <cdr:sp macro="" textlink="">
      <cdr:nvSpPr>
        <cdr:cNvPr id="6" name="TextBox 5"/>
        <cdr:cNvSpPr txBox="1"/>
      </cdr:nvSpPr>
      <cdr:spPr>
        <a:xfrm xmlns:a="http://schemas.openxmlformats.org/drawingml/2006/main">
          <a:off x="3450373" y="19328"/>
          <a:ext cx="232916" cy="2664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a</a:t>
          </a:r>
        </a:p>
      </cdr:txBody>
    </cdr:sp>
  </cdr:relSizeAnchor>
  <cdr:relSizeAnchor xmlns:cdr="http://schemas.openxmlformats.org/drawingml/2006/chartDrawing">
    <cdr:from>
      <cdr:x>0.72869</cdr:x>
      <cdr:y>0.08951</cdr:y>
    </cdr:from>
    <cdr:to>
      <cdr:x>0.77968</cdr:x>
      <cdr:y>0.22762</cdr:y>
    </cdr:to>
    <cdr:sp macro="" textlink="">
      <cdr:nvSpPr>
        <cdr:cNvPr id="7" name="TextBox 6"/>
        <cdr:cNvSpPr txBox="1"/>
      </cdr:nvSpPr>
      <cdr:spPr>
        <a:xfrm xmlns:a="http://schemas.openxmlformats.org/drawingml/2006/main">
          <a:off x="4264410" y="200025"/>
          <a:ext cx="298402" cy="3086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c</a:t>
          </a:r>
        </a:p>
      </cdr:txBody>
    </cdr:sp>
  </cdr:relSizeAnchor>
  <cdr:relSizeAnchor xmlns:cdr="http://schemas.openxmlformats.org/drawingml/2006/chartDrawing">
    <cdr:from>
      <cdr:x>0.86894</cdr:x>
      <cdr:y>0.07673</cdr:y>
    </cdr:from>
    <cdr:to>
      <cdr:x>0.91406</cdr:x>
      <cdr:y>0.2046</cdr:y>
    </cdr:to>
    <cdr:sp macro="" textlink="">
      <cdr:nvSpPr>
        <cdr:cNvPr id="8" name="TextBox 7"/>
        <cdr:cNvSpPr txBox="1"/>
      </cdr:nvSpPr>
      <cdr:spPr>
        <a:xfrm xmlns:a="http://schemas.openxmlformats.org/drawingml/2006/main">
          <a:off x="5085174" y="171450"/>
          <a:ext cx="264066"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b="0">
              <a:latin typeface="+mn-lt"/>
              <a:cs typeface="Arial" pitchFamily="34" charset="0"/>
            </a:rPr>
            <a:t>b</a:t>
          </a:r>
        </a:p>
      </cdr:txBody>
    </cdr:sp>
  </cdr:relSizeAnchor>
  <cdr:relSizeAnchor xmlns:cdr="http://schemas.openxmlformats.org/drawingml/2006/chartDrawing">
    <cdr:from>
      <cdr:x>0.16712</cdr:x>
      <cdr:y>0.1395</cdr:y>
    </cdr:from>
    <cdr:to>
      <cdr:x>0.22008</cdr:x>
      <cdr:y>0.27366</cdr:y>
    </cdr:to>
    <cdr:sp macro="" textlink="">
      <cdr:nvSpPr>
        <cdr:cNvPr id="9" name="TextBox 8"/>
        <cdr:cNvSpPr txBox="1"/>
      </cdr:nvSpPr>
      <cdr:spPr>
        <a:xfrm xmlns:a="http://schemas.openxmlformats.org/drawingml/2006/main">
          <a:off x="978011" y="311715"/>
          <a:ext cx="309931" cy="29978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200">
              <a:latin typeface="+mn-lt"/>
              <a:cs typeface="Arial" pitchFamily="34" charset="0"/>
            </a:rPr>
            <a:t>c</a:t>
          </a:r>
        </a:p>
      </cdr:txBody>
    </cdr:sp>
  </cdr:relSizeAnchor>
  <cdr:relSizeAnchor xmlns:cdr="http://schemas.openxmlformats.org/drawingml/2006/chartDrawing">
    <cdr:from>
      <cdr:x>0.29263</cdr:x>
      <cdr:y>0.04727</cdr:y>
    </cdr:from>
    <cdr:to>
      <cdr:x>0.37305</cdr:x>
      <cdr:y>0.15273</cdr:y>
    </cdr:to>
    <cdr:sp macro="" textlink="">
      <cdr:nvSpPr>
        <cdr:cNvPr id="10" name="TextBox 9"/>
        <cdr:cNvSpPr txBox="1"/>
      </cdr:nvSpPr>
      <cdr:spPr>
        <a:xfrm xmlns:a="http://schemas.openxmlformats.org/drawingml/2006/main">
          <a:off x="1586466" y="138223"/>
          <a:ext cx="435935" cy="3083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24</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Benyamin Lakitan</dc:creator>
  <cp:keywords/>
  <dc:description/>
  <cp:lastModifiedBy>Benyamin Lakitan</cp:lastModifiedBy>
  <cp:revision>6</cp:revision>
  <dcterms:created xsi:type="dcterms:W3CDTF">2019-07-31T07:35:00Z</dcterms:created>
  <dcterms:modified xsi:type="dcterms:W3CDTF">2019-08-01T01:28:00Z</dcterms:modified>
</cp:coreProperties>
</file>