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28E" w:rsidRPr="00CD528E" w:rsidRDefault="00CD528E" w:rsidP="00CD528E">
      <w:pPr>
        <w:pStyle w:val="ListParagraph"/>
        <w:spacing w:line="240" w:lineRule="auto"/>
        <w:jc w:val="center"/>
        <w:rPr>
          <w:rFonts w:ascii="Arial" w:hAnsi="Arial" w:cs="Arial"/>
          <w:b/>
          <w:sz w:val="20"/>
          <w:szCs w:val="20"/>
          <w:lang w:val="en-US"/>
        </w:rPr>
      </w:pPr>
      <w:r w:rsidRPr="00CD528E">
        <w:rPr>
          <w:rFonts w:ascii="Arial" w:hAnsi="Arial" w:cs="Arial"/>
          <w:b/>
          <w:sz w:val="20"/>
          <w:szCs w:val="20"/>
          <w:lang w:val="en-US"/>
        </w:rPr>
        <w:t>TITLE</w:t>
      </w:r>
    </w:p>
    <w:p w:rsidR="00CD528E" w:rsidRPr="00CD528E" w:rsidRDefault="00CD528E" w:rsidP="00CD528E">
      <w:pPr>
        <w:pStyle w:val="ListParagraph"/>
        <w:spacing w:line="240" w:lineRule="auto"/>
        <w:jc w:val="both"/>
        <w:rPr>
          <w:rFonts w:ascii="Arial Narrow" w:hAnsi="Arial Narrow" w:cs="Arial"/>
          <w:sz w:val="28"/>
          <w:szCs w:val="28"/>
          <w:lang w:val="en-US"/>
        </w:rPr>
      </w:pPr>
      <w:r w:rsidRPr="00CD528E">
        <w:rPr>
          <w:rFonts w:ascii="Arial Narrow" w:hAnsi="Arial Narrow" w:cs="Arial"/>
          <w:sz w:val="28"/>
          <w:szCs w:val="28"/>
          <w:lang w:val="en-US"/>
        </w:rPr>
        <w:t xml:space="preserve">Comparative effects of soil and foliar applications of </w:t>
      </w:r>
      <w:proofErr w:type="spellStart"/>
      <w:r w:rsidRPr="00CD528E">
        <w:rPr>
          <w:rFonts w:ascii="Arial Narrow" w:hAnsi="Arial Narrow" w:cs="Arial"/>
          <w:sz w:val="28"/>
          <w:szCs w:val="28"/>
          <w:lang w:val="en-US"/>
        </w:rPr>
        <w:t>tithonia</w:t>
      </w:r>
      <w:proofErr w:type="spellEnd"/>
      <w:r w:rsidRPr="00CD528E">
        <w:rPr>
          <w:rFonts w:ascii="Arial Narrow" w:hAnsi="Arial Narrow" w:cs="Arial"/>
          <w:sz w:val="28"/>
          <w:szCs w:val="28"/>
          <w:lang w:val="en-US"/>
        </w:rPr>
        <w:t>-enriched liquid organic fertilizer on yields of sweet corn in closed agriculture production system</w:t>
      </w:r>
    </w:p>
    <w:p w:rsidR="00CD528E" w:rsidRPr="00CD528E" w:rsidRDefault="00CD528E" w:rsidP="00CD528E">
      <w:pPr>
        <w:pStyle w:val="ListParagraph"/>
        <w:spacing w:line="240" w:lineRule="auto"/>
        <w:jc w:val="both"/>
        <w:rPr>
          <w:rFonts w:ascii="Arial" w:hAnsi="Arial" w:cs="Arial"/>
          <w:sz w:val="20"/>
          <w:szCs w:val="20"/>
          <w:lang w:val="en-US"/>
        </w:rPr>
      </w:pPr>
    </w:p>
    <w:p w:rsidR="00CD528E" w:rsidRPr="00CD528E" w:rsidRDefault="00CD528E" w:rsidP="00CD528E">
      <w:pPr>
        <w:pStyle w:val="ListParagraph"/>
        <w:spacing w:line="240" w:lineRule="auto"/>
        <w:jc w:val="both"/>
        <w:rPr>
          <w:rFonts w:ascii="Arial" w:hAnsi="Arial" w:cs="Arial"/>
          <w:sz w:val="20"/>
          <w:szCs w:val="20"/>
          <w:lang w:val="en-US"/>
        </w:rPr>
      </w:pPr>
      <w:r w:rsidRPr="00CD528E">
        <w:rPr>
          <w:rFonts w:ascii="Arial" w:hAnsi="Arial" w:cs="Arial"/>
          <w:sz w:val="20"/>
          <w:szCs w:val="20"/>
          <w:lang w:val="en-US"/>
        </w:rPr>
        <w:t xml:space="preserve"> </w:t>
      </w:r>
    </w:p>
    <w:p w:rsidR="00CD528E" w:rsidRPr="00CD528E" w:rsidRDefault="00CD528E" w:rsidP="00CD528E">
      <w:pPr>
        <w:pStyle w:val="ListParagraph"/>
        <w:spacing w:line="240" w:lineRule="auto"/>
        <w:jc w:val="center"/>
        <w:rPr>
          <w:rFonts w:ascii="Arial" w:hAnsi="Arial" w:cs="Arial"/>
          <w:b/>
          <w:sz w:val="20"/>
          <w:szCs w:val="20"/>
          <w:lang w:val="en-US"/>
        </w:rPr>
      </w:pPr>
      <w:r w:rsidRPr="00CD528E">
        <w:rPr>
          <w:rFonts w:ascii="Arial" w:hAnsi="Arial" w:cs="Arial"/>
          <w:b/>
          <w:sz w:val="20"/>
          <w:szCs w:val="20"/>
          <w:lang w:val="en-US"/>
        </w:rPr>
        <w:t>ABSTRACT</w:t>
      </w:r>
    </w:p>
    <w:p w:rsidR="00CD528E" w:rsidRPr="00CD528E" w:rsidRDefault="00CD528E" w:rsidP="00CD528E">
      <w:pPr>
        <w:pStyle w:val="ListParagraph"/>
        <w:spacing w:line="240" w:lineRule="auto"/>
        <w:ind w:firstLine="720"/>
        <w:jc w:val="both"/>
        <w:rPr>
          <w:rFonts w:ascii="Arial" w:hAnsi="Arial" w:cs="Arial"/>
          <w:sz w:val="20"/>
          <w:szCs w:val="20"/>
          <w:lang w:val="en-US"/>
        </w:rPr>
      </w:pPr>
      <w:r w:rsidRPr="00CD528E">
        <w:rPr>
          <w:rFonts w:ascii="Arial" w:hAnsi="Arial" w:cs="Arial"/>
          <w:sz w:val="20"/>
          <w:szCs w:val="20"/>
          <w:lang w:val="en-US"/>
        </w:rPr>
        <w:t xml:space="preserve">A closed agriculture production system, a practice of organic production, usually applies solid organic fertilizer for nutrient source. The slow-release characteristic of solid organic fertilizer endorsed the application of liquid organic fertilizer (LOF) through leaves to fulfill required nutrients.  Experiments were conducted to compare LOF application methods and to determine optimum LOF concentrations for sweet corn. Two separated experiments were conducted from February to May and March to June 2015, respectively, arranged in factorial randomized complete block design with three replicates.  The first factor was LOF application methods (soil and foliar) and the second factor was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concentration (0, 25, 50, 75, and 100 ppm). Observations focused on average weight of husked ear (g), length of unhusked ear (cm), weight of unhusked ear (g) and diameter of unhusked ear (cm).  Results indicated that soil and foliar applications of LOF have the same effects on sweet corn yields. Concentrations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did not increase weight of husked ear, length of unhusked ear, weight of unhusked ear, and diameter of unhusked ear of sweet corn. It is concluded that in a closed production system, LOF application through soil is as effective as foliar application in affecting sweet corn yields.  </w:t>
      </w:r>
    </w:p>
    <w:p w:rsidR="00CD528E" w:rsidRDefault="00CD528E" w:rsidP="00CD528E">
      <w:pPr>
        <w:pStyle w:val="ListParagraph"/>
        <w:spacing w:line="240" w:lineRule="auto"/>
        <w:jc w:val="both"/>
        <w:rPr>
          <w:rFonts w:ascii="Arial" w:hAnsi="Arial" w:cs="Arial"/>
          <w:sz w:val="20"/>
          <w:szCs w:val="20"/>
          <w:lang w:val="en-US"/>
        </w:rPr>
      </w:pPr>
    </w:p>
    <w:p w:rsidR="00CD528E" w:rsidRPr="00CD528E" w:rsidRDefault="00CD528E" w:rsidP="00CD528E">
      <w:pPr>
        <w:pStyle w:val="ListParagraph"/>
        <w:spacing w:line="240" w:lineRule="auto"/>
        <w:jc w:val="center"/>
        <w:rPr>
          <w:rFonts w:ascii="Arial" w:hAnsi="Arial" w:cs="Arial"/>
          <w:b/>
          <w:sz w:val="20"/>
          <w:szCs w:val="20"/>
          <w:lang w:val="en-US"/>
        </w:rPr>
      </w:pPr>
      <w:r w:rsidRPr="00CD528E">
        <w:rPr>
          <w:rFonts w:ascii="Arial" w:hAnsi="Arial" w:cs="Arial"/>
          <w:b/>
          <w:sz w:val="20"/>
          <w:szCs w:val="20"/>
          <w:lang w:val="en-US"/>
        </w:rPr>
        <w:t>KEYWORDS</w:t>
      </w:r>
    </w:p>
    <w:p w:rsidR="00CD528E" w:rsidRDefault="00CD528E" w:rsidP="00CD528E">
      <w:pPr>
        <w:pStyle w:val="ListParagraph"/>
        <w:spacing w:line="240" w:lineRule="auto"/>
        <w:jc w:val="both"/>
        <w:rPr>
          <w:rFonts w:ascii="Arial" w:hAnsi="Arial" w:cs="Arial"/>
          <w:sz w:val="20"/>
          <w:szCs w:val="20"/>
          <w:lang w:val="en-US"/>
        </w:rPr>
      </w:pPr>
    </w:p>
    <w:p w:rsidR="00CD528E" w:rsidRPr="00CD528E" w:rsidRDefault="00CD528E" w:rsidP="00CD528E">
      <w:pPr>
        <w:pStyle w:val="ListParagraph"/>
        <w:spacing w:line="240" w:lineRule="auto"/>
        <w:jc w:val="both"/>
        <w:rPr>
          <w:rFonts w:ascii="Arial" w:hAnsi="Arial" w:cs="Arial"/>
          <w:sz w:val="20"/>
          <w:szCs w:val="20"/>
          <w:lang w:val="en-US"/>
        </w:rPr>
      </w:pPr>
      <w:r w:rsidRPr="00CD528E">
        <w:rPr>
          <w:rFonts w:ascii="Arial" w:hAnsi="Arial" w:cs="Arial"/>
          <w:sz w:val="20"/>
          <w:szCs w:val="20"/>
          <w:lang w:val="en-US"/>
        </w:rPr>
        <w:t xml:space="preserve">Sweet corn;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 </w:t>
      </w:r>
      <w:proofErr w:type="spellStart"/>
      <w:r w:rsidRPr="00CD528E">
        <w:rPr>
          <w:rFonts w:ascii="Arial" w:hAnsi="Arial" w:cs="Arial"/>
          <w:sz w:val="20"/>
          <w:szCs w:val="20"/>
          <w:lang w:val="en-US"/>
        </w:rPr>
        <w:t>diversifolia</w:t>
      </w:r>
      <w:proofErr w:type="spellEnd"/>
      <w:r w:rsidRPr="00CD528E">
        <w:rPr>
          <w:rFonts w:ascii="Arial" w:hAnsi="Arial" w:cs="Arial"/>
          <w:sz w:val="20"/>
          <w:szCs w:val="20"/>
          <w:lang w:val="en-US"/>
        </w:rPr>
        <w:t>; Liquid organic fertilizer; Foliar application; Soil application</w:t>
      </w:r>
    </w:p>
    <w:p w:rsidR="00CD528E" w:rsidRPr="00CD528E" w:rsidRDefault="00CD528E" w:rsidP="00CD528E">
      <w:pPr>
        <w:pStyle w:val="ListParagraph"/>
        <w:spacing w:line="240" w:lineRule="auto"/>
        <w:jc w:val="both"/>
        <w:rPr>
          <w:rFonts w:ascii="Arial" w:hAnsi="Arial" w:cs="Arial"/>
          <w:sz w:val="20"/>
          <w:szCs w:val="20"/>
          <w:lang w:val="en-US"/>
        </w:rPr>
      </w:pPr>
    </w:p>
    <w:p w:rsidR="00CD528E" w:rsidRPr="00CD528E" w:rsidRDefault="00CD528E" w:rsidP="00CD528E">
      <w:pPr>
        <w:pStyle w:val="ListParagraph"/>
        <w:spacing w:after="0" w:line="360" w:lineRule="auto"/>
        <w:jc w:val="center"/>
        <w:rPr>
          <w:rFonts w:ascii="Arial" w:hAnsi="Arial" w:cs="Arial"/>
          <w:b/>
          <w:sz w:val="20"/>
          <w:szCs w:val="20"/>
          <w:lang w:val="en-US"/>
        </w:rPr>
      </w:pPr>
      <w:r w:rsidRPr="00CD528E">
        <w:rPr>
          <w:rFonts w:ascii="Arial" w:hAnsi="Arial" w:cs="Arial"/>
          <w:b/>
          <w:sz w:val="20"/>
          <w:szCs w:val="20"/>
          <w:lang w:val="en-US"/>
        </w:rPr>
        <w:t>INTRODUCTION</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Sweet corn production in a closed production system is a practice of organic vegetable production, a system approach where the production was intentionally designed to promote biodiversity, biological cycles, and soil biological activities (</w:t>
      </w:r>
      <w:proofErr w:type="spellStart"/>
      <w:r w:rsidRPr="00CD528E">
        <w:rPr>
          <w:rFonts w:ascii="Arial" w:hAnsi="Arial" w:cs="Arial"/>
          <w:sz w:val="20"/>
          <w:szCs w:val="20"/>
          <w:lang w:val="en-US"/>
        </w:rPr>
        <w:t>Brust</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2003). From agronomical point of views, vegetables produced in organic system must benefit other crops in a long run and maintain land resources sustainability.  The use of solid organic fertilizer in organic vegetable production, including sweet corn (</w:t>
      </w:r>
      <w:proofErr w:type="spellStart"/>
      <w:r w:rsidRPr="00CD528E">
        <w:rPr>
          <w:rFonts w:ascii="Arial" w:hAnsi="Arial" w:cs="Arial"/>
          <w:i/>
          <w:sz w:val="20"/>
          <w:szCs w:val="20"/>
          <w:lang w:val="en-US"/>
        </w:rPr>
        <w:t>Zea</w:t>
      </w:r>
      <w:proofErr w:type="spellEnd"/>
      <w:r w:rsidRPr="00CD528E">
        <w:rPr>
          <w:rFonts w:ascii="Arial" w:hAnsi="Arial" w:cs="Arial"/>
          <w:i/>
          <w:sz w:val="20"/>
          <w:szCs w:val="20"/>
          <w:lang w:val="en-US"/>
        </w:rPr>
        <w:t xml:space="preserve"> mays</w:t>
      </w:r>
      <w:r w:rsidRPr="00CD528E">
        <w:rPr>
          <w:rFonts w:ascii="Arial" w:hAnsi="Arial" w:cs="Arial"/>
          <w:sz w:val="20"/>
          <w:szCs w:val="20"/>
          <w:lang w:val="en-US"/>
        </w:rPr>
        <w:t xml:space="preserve"> L. var. </w:t>
      </w:r>
      <w:proofErr w:type="spellStart"/>
      <w:r w:rsidRPr="00CD528E">
        <w:rPr>
          <w:rFonts w:ascii="Arial" w:hAnsi="Arial" w:cs="Arial"/>
          <w:sz w:val="20"/>
          <w:szCs w:val="20"/>
          <w:lang w:val="en-US"/>
        </w:rPr>
        <w:t>Saccharata</w:t>
      </w:r>
      <w:proofErr w:type="spellEnd"/>
      <w:r w:rsidRPr="00CD528E">
        <w:rPr>
          <w:rFonts w:ascii="Arial" w:hAnsi="Arial" w:cs="Arial"/>
          <w:sz w:val="20"/>
          <w:szCs w:val="20"/>
          <w:lang w:val="en-US"/>
        </w:rPr>
        <w:t xml:space="preserve">), must be complemented with the use of liquid organic fertilizer (LOF) </w:t>
      </w:r>
      <w:proofErr w:type="gramStart"/>
      <w:r w:rsidRPr="00CD528E">
        <w:rPr>
          <w:rFonts w:ascii="Arial" w:hAnsi="Arial" w:cs="Arial"/>
          <w:sz w:val="20"/>
          <w:szCs w:val="20"/>
          <w:lang w:val="en-US"/>
        </w:rPr>
        <w:t>in order to</w:t>
      </w:r>
      <w:proofErr w:type="gramEnd"/>
      <w:r w:rsidRPr="00CD528E">
        <w:rPr>
          <w:rFonts w:ascii="Arial" w:hAnsi="Arial" w:cs="Arial"/>
          <w:sz w:val="20"/>
          <w:szCs w:val="20"/>
          <w:lang w:val="en-US"/>
        </w:rPr>
        <w:t xml:space="preserve"> compensate delayed effects of solid organic fertilizer availability to cultivated crops.  Slow availability takes place </w:t>
      </w:r>
      <w:proofErr w:type="gramStart"/>
      <w:r w:rsidRPr="00CD528E">
        <w:rPr>
          <w:rFonts w:ascii="Arial" w:hAnsi="Arial" w:cs="Arial"/>
          <w:sz w:val="20"/>
          <w:szCs w:val="20"/>
          <w:lang w:val="en-US"/>
        </w:rPr>
        <w:t>due to the fact that</w:t>
      </w:r>
      <w:proofErr w:type="gramEnd"/>
      <w:r w:rsidRPr="00CD528E">
        <w:rPr>
          <w:rFonts w:ascii="Arial" w:hAnsi="Arial" w:cs="Arial"/>
          <w:sz w:val="20"/>
          <w:szCs w:val="20"/>
          <w:lang w:val="en-US"/>
        </w:rPr>
        <w:t xml:space="preserve"> solid organic fertilizer take</w:t>
      </w:r>
      <w:r>
        <w:rPr>
          <w:rFonts w:ascii="Arial" w:hAnsi="Arial" w:cs="Arial"/>
          <w:sz w:val="20"/>
          <w:szCs w:val="20"/>
          <w:lang w:val="en-US"/>
        </w:rPr>
        <w:t>s</w:t>
      </w:r>
      <w:r w:rsidRPr="00CD528E">
        <w:rPr>
          <w:rFonts w:ascii="Arial" w:hAnsi="Arial" w:cs="Arial"/>
          <w:sz w:val="20"/>
          <w:szCs w:val="20"/>
          <w:lang w:val="en-US"/>
        </w:rPr>
        <w:t xml:space="preserve"> longer time to mineralized than crop life-cycles. According to </w:t>
      </w:r>
      <w:proofErr w:type="spellStart"/>
      <w:r w:rsidRPr="00CD528E">
        <w:rPr>
          <w:rFonts w:ascii="Arial" w:hAnsi="Arial" w:cs="Arial"/>
          <w:sz w:val="20"/>
          <w:szCs w:val="20"/>
          <w:lang w:val="en-US"/>
        </w:rPr>
        <w:t>Foth</w:t>
      </w:r>
      <w:proofErr w:type="spellEnd"/>
      <w:r w:rsidRPr="00CD528E">
        <w:rPr>
          <w:rFonts w:ascii="Arial" w:hAnsi="Arial" w:cs="Arial"/>
          <w:sz w:val="20"/>
          <w:szCs w:val="20"/>
          <w:lang w:val="en-US"/>
        </w:rPr>
        <w:t xml:space="preserve"> and Ellis (1997) within 90 days after solid organic fertilizer application, there were only 50% of its N, P, and K got mineralized. Another report confirmed that most composts mineralized &lt;10% of initial N content during four to six months after the application into the soil (Hartz </w:t>
      </w:r>
      <w:r w:rsidRPr="00CD528E">
        <w:rPr>
          <w:rFonts w:ascii="Arial" w:hAnsi="Arial" w:cs="Arial"/>
          <w:i/>
          <w:sz w:val="20"/>
          <w:szCs w:val="20"/>
          <w:lang w:val="en-US"/>
        </w:rPr>
        <w:t>et al</w:t>
      </w:r>
      <w:r w:rsidRPr="00CD528E">
        <w:rPr>
          <w:rFonts w:ascii="Arial" w:hAnsi="Arial" w:cs="Arial"/>
          <w:sz w:val="20"/>
          <w:szCs w:val="20"/>
          <w:lang w:val="en-US"/>
        </w:rPr>
        <w:t xml:space="preserve">., 2000). It is therefore recommended to combine soil and foliar applications of organic fertilizers to increase crop productivity and yield quality of sweet corn in a closed production system. </w:t>
      </w:r>
      <w:proofErr w:type="spellStart"/>
      <w:r w:rsidRPr="00CD528E">
        <w:rPr>
          <w:rFonts w:ascii="Arial" w:hAnsi="Arial" w:cs="Arial"/>
          <w:sz w:val="20"/>
          <w:szCs w:val="20"/>
          <w:lang w:val="en-US"/>
        </w:rPr>
        <w:t>Mukhlis</w:t>
      </w:r>
      <w:proofErr w:type="spellEnd"/>
      <w:r w:rsidRPr="00CD528E">
        <w:rPr>
          <w:rFonts w:ascii="Arial" w:hAnsi="Arial" w:cs="Arial"/>
          <w:sz w:val="20"/>
          <w:szCs w:val="20"/>
          <w:lang w:val="en-US"/>
        </w:rPr>
        <w:t xml:space="preserve"> and Lestari (2013), for example, combined the use of biofertilizer with NPK to increase growth of sweet corn. In addition, </w:t>
      </w:r>
      <w:proofErr w:type="spellStart"/>
      <w:r w:rsidRPr="00CD528E">
        <w:rPr>
          <w:rFonts w:ascii="Arial" w:hAnsi="Arial" w:cs="Arial"/>
          <w:sz w:val="20"/>
          <w:szCs w:val="20"/>
          <w:lang w:val="en-US"/>
        </w:rPr>
        <w:t>Maswar</w:t>
      </w:r>
      <w:proofErr w:type="spellEnd"/>
      <w:r w:rsidRPr="00CD528E">
        <w:rPr>
          <w:rFonts w:ascii="Arial" w:hAnsi="Arial" w:cs="Arial"/>
          <w:sz w:val="20"/>
          <w:szCs w:val="20"/>
          <w:lang w:val="en-US"/>
        </w:rPr>
        <w:t xml:space="preserve"> and </w:t>
      </w:r>
      <w:proofErr w:type="spellStart"/>
      <w:r w:rsidRPr="00CD528E">
        <w:rPr>
          <w:rFonts w:ascii="Arial" w:hAnsi="Arial" w:cs="Arial"/>
          <w:sz w:val="20"/>
          <w:szCs w:val="20"/>
          <w:lang w:val="en-US"/>
        </w:rPr>
        <w:t>Soelaeman</w:t>
      </w:r>
      <w:proofErr w:type="spellEnd"/>
      <w:r w:rsidRPr="00CD528E">
        <w:rPr>
          <w:rFonts w:ascii="Arial" w:hAnsi="Arial" w:cs="Arial"/>
          <w:sz w:val="20"/>
          <w:szCs w:val="20"/>
          <w:lang w:val="en-US"/>
        </w:rPr>
        <w:t xml:space="preserve"> (2106), combined the use of solid organic fertilizer with NPK to maintain sustainable yields of maize grain.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There have been growing interests to use </w:t>
      </w:r>
      <w:proofErr w:type="spellStart"/>
      <w:r w:rsidRPr="00CD528E">
        <w:rPr>
          <w:rFonts w:ascii="Arial" w:hAnsi="Arial" w:cs="Arial"/>
          <w:sz w:val="20"/>
          <w:szCs w:val="20"/>
          <w:lang w:val="en-US"/>
        </w:rPr>
        <w:t>tithonia’s</w:t>
      </w:r>
      <w:proofErr w:type="spellEnd"/>
      <w:r w:rsidRPr="00CD528E">
        <w:rPr>
          <w:rFonts w:ascii="Arial" w:hAnsi="Arial" w:cs="Arial"/>
          <w:sz w:val="20"/>
          <w:szCs w:val="20"/>
          <w:lang w:val="en-US"/>
        </w:rPr>
        <w:t xml:space="preserve"> green biomass for organic vegetable production (</w:t>
      </w:r>
      <w:proofErr w:type="spellStart"/>
      <w:r w:rsidRPr="00CD528E">
        <w:rPr>
          <w:rFonts w:ascii="Arial" w:hAnsi="Arial" w:cs="Arial"/>
          <w:sz w:val="20"/>
          <w:szCs w:val="20"/>
          <w:lang w:val="en-US"/>
        </w:rPr>
        <w:t>Drechsel</w:t>
      </w:r>
      <w:proofErr w:type="spellEnd"/>
      <w:r w:rsidRPr="00CD528E">
        <w:rPr>
          <w:rFonts w:ascii="Arial" w:hAnsi="Arial" w:cs="Arial"/>
          <w:sz w:val="20"/>
          <w:szCs w:val="20"/>
          <w:lang w:val="en-US"/>
        </w:rPr>
        <w:t xml:space="preserve"> and </w:t>
      </w:r>
      <w:proofErr w:type="spellStart"/>
      <w:r w:rsidRPr="00CD528E">
        <w:rPr>
          <w:rFonts w:ascii="Arial" w:hAnsi="Arial" w:cs="Arial"/>
          <w:sz w:val="20"/>
          <w:szCs w:val="20"/>
          <w:lang w:val="en-US"/>
        </w:rPr>
        <w:t>Reck</w:t>
      </w:r>
      <w:proofErr w:type="spellEnd"/>
      <w:r w:rsidRPr="00CD528E">
        <w:rPr>
          <w:rFonts w:ascii="Arial" w:hAnsi="Arial" w:cs="Arial"/>
          <w:sz w:val="20"/>
          <w:szCs w:val="20"/>
          <w:lang w:val="en-US"/>
        </w:rPr>
        <w:t xml:space="preserve">, 1998; Jama </w:t>
      </w:r>
      <w:r w:rsidRPr="00CD528E">
        <w:rPr>
          <w:rFonts w:ascii="Arial" w:hAnsi="Arial" w:cs="Arial"/>
          <w:i/>
          <w:sz w:val="20"/>
          <w:szCs w:val="20"/>
          <w:lang w:val="en-US"/>
        </w:rPr>
        <w:t>et al</w:t>
      </w:r>
      <w:r w:rsidRPr="00CD528E">
        <w:rPr>
          <w:rFonts w:ascii="Arial" w:hAnsi="Arial" w:cs="Arial"/>
          <w:sz w:val="20"/>
          <w:szCs w:val="20"/>
          <w:lang w:val="en-US"/>
        </w:rPr>
        <w:t xml:space="preserve">., 2000; </w:t>
      </w:r>
      <w:proofErr w:type="spellStart"/>
      <w:r w:rsidRPr="00CD528E">
        <w:rPr>
          <w:rFonts w:ascii="Arial" w:hAnsi="Arial" w:cs="Arial"/>
          <w:sz w:val="20"/>
          <w:szCs w:val="20"/>
          <w:lang w:val="en-US"/>
        </w:rPr>
        <w:t>Nziguheba</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xml:space="preserve">., 2002; </w:t>
      </w:r>
      <w:proofErr w:type="spellStart"/>
      <w:r w:rsidRPr="00CD528E">
        <w:rPr>
          <w:rFonts w:ascii="Arial" w:hAnsi="Arial" w:cs="Arial"/>
          <w:sz w:val="20"/>
          <w:szCs w:val="20"/>
          <w:lang w:val="en-US"/>
        </w:rPr>
        <w:t>Olabode</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xml:space="preserve">., </w:t>
      </w:r>
      <w:r w:rsidRPr="00CD528E">
        <w:rPr>
          <w:rFonts w:ascii="Arial" w:hAnsi="Arial" w:cs="Arial"/>
          <w:sz w:val="20"/>
          <w:szCs w:val="20"/>
          <w:lang w:val="en-US"/>
        </w:rPr>
        <w:lastRenderedPageBreak/>
        <w:t xml:space="preserve">2007) due to the relatively high nutrient concentrations found in its biomass.  Jama </w:t>
      </w:r>
      <w:r w:rsidRPr="00CD528E">
        <w:rPr>
          <w:rFonts w:ascii="Arial" w:hAnsi="Arial" w:cs="Arial"/>
          <w:i/>
          <w:sz w:val="20"/>
          <w:szCs w:val="20"/>
          <w:lang w:val="en-US"/>
        </w:rPr>
        <w:t>et al</w:t>
      </w:r>
      <w:r w:rsidRPr="00CD528E">
        <w:rPr>
          <w:rFonts w:ascii="Arial" w:hAnsi="Arial" w:cs="Arial"/>
          <w:sz w:val="20"/>
          <w:szCs w:val="20"/>
          <w:lang w:val="en-US"/>
        </w:rPr>
        <w:t xml:space="preserve">. (2000) reported that green leaf biomass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 contained 3.5% N, 0.37% P, and 4.1% K on a dry matter basis. In addition, </w:t>
      </w:r>
      <w:proofErr w:type="spellStart"/>
      <w:r w:rsidRPr="00CD528E">
        <w:rPr>
          <w:rFonts w:ascii="Arial" w:hAnsi="Arial" w:cs="Arial"/>
          <w:sz w:val="20"/>
          <w:szCs w:val="20"/>
          <w:lang w:val="en-US"/>
        </w:rPr>
        <w:t>Olabode</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xml:space="preserve">. (2007) reported that organic matter, N, P, K, Ca, Mg, C, and C/N in </w:t>
      </w:r>
      <w:proofErr w:type="spellStart"/>
      <w:r w:rsidRPr="00CD528E">
        <w:rPr>
          <w:rFonts w:ascii="Arial" w:hAnsi="Arial" w:cs="Arial"/>
          <w:i/>
          <w:sz w:val="20"/>
          <w:szCs w:val="20"/>
          <w:lang w:val="en-US"/>
        </w:rPr>
        <w:t>Tithonia</w:t>
      </w:r>
      <w:proofErr w:type="spellEnd"/>
      <w:r w:rsidRPr="00CD528E">
        <w:rPr>
          <w:rFonts w:ascii="Arial" w:hAnsi="Arial" w:cs="Arial"/>
          <w:i/>
          <w:sz w:val="20"/>
          <w:szCs w:val="20"/>
          <w:lang w:val="en-US"/>
        </w:rPr>
        <w:t xml:space="preserve"> </w:t>
      </w:r>
      <w:proofErr w:type="spellStart"/>
      <w:r w:rsidRPr="00CD528E">
        <w:rPr>
          <w:rFonts w:ascii="Arial" w:hAnsi="Arial" w:cs="Arial"/>
          <w:i/>
          <w:sz w:val="20"/>
          <w:szCs w:val="20"/>
          <w:lang w:val="en-US"/>
        </w:rPr>
        <w:t>diversifolia</w:t>
      </w:r>
      <w:proofErr w:type="spellEnd"/>
      <w:r w:rsidRPr="00CD528E">
        <w:rPr>
          <w:rFonts w:ascii="Arial" w:hAnsi="Arial" w:cs="Arial"/>
          <w:sz w:val="20"/>
          <w:szCs w:val="20"/>
          <w:lang w:val="en-US"/>
        </w:rPr>
        <w:t xml:space="preserve"> were 24.04%, 1.76%, 0.82%, 3.92%, 3.07%, 0.005%, 14.00%, and 8:1, respectively.  The use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 plants as a source of LOF for organic vegetable production in humid tropical highland of Bengkulu, Indonesia has been introduced by </w:t>
      </w:r>
      <w:proofErr w:type="spellStart"/>
      <w:r w:rsidRPr="00CD528E">
        <w:rPr>
          <w:rFonts w:ascii="Arial" w:hAnsi="Arial" w:cs="Arial"/>
          <w:sz w:val="20"/>
          <w:szCs w:val="20"/>
          <w:lang w:val="en-US"/>
        </w:rPr>
        <w:t>Setyowati</w:t>
      </w:r>
      <w:proofErr w:type="spellEnd"/>
      <w:r w:rsidRPr="00CD528E">
        <w:rPr>
          <w:rFonts w:ascii="Arial" w:hAnsi="Arial" w:cs="Arial"/>
          <w:sz w:val="20"/>
          <w:szCs w:val="20"/>
          <w:lang w:val="en-US"/>
        </w:rPr>
        <w:t xml:space="preserve"> (2014) and </w:t>
      </w:r>
      <w:proofErr w:type="spellStart"/>
      <w:r w:rsidRPr="00CD528E">
        <w:rPr>
          <w:rFonts w:ascii="Arial" w:hAnsi="Arial" w:cs="Arial"/>
          <w:sz w:val="20"/>
          <w:szCs w:val="20"/>
          <w:lang w:val="en-US"/>
        </w:rPr>
        <w:t>Fahrurrozi</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(2015, 2016).</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The applications of LOF are generally conducted by directly spraying to leave surfaces. Foliar nutrients application is very effective to support growth and yield of maize plants under drought condition (</w:t>
      </w:r>
      <w:proofErr w:type="spellStart"/>
      <w:r w:rsidRPr="00CD528E">
        <w:rPr>
          <w:rFonts w:ascii="Arial" w:hAnsi="Arial" w:cs="Arial"/>
          <w:sz w:val="20"/>
          <w:szCs w:val="20"/>
          <w:lang w:val="en-US"/>
        </w:rPr>
        <w:t>Amanullah</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xml:space="preserve">., 2014).  According to </w:t>
      </w:r>
      <w:proofErr w:type="spellStart"/>
      <w:r w:rsidRPr="00CD528E">
        <w:rPr>
          <w:rFonts w:ascii="Arial" w:hAnsi="Arial" w:cs="Arial"/>
          <w:sz w:val="20"/>
          <w:szCs w:val="20"/>
          <w:lang w:val="en-US"/>
        </w:rPr>
        <w:t>Haytova</w:t>
      </w:r>
      <w:proofErr w:type="spellEnd"/>
      <w:r w:rsidRPr="00CD528E">
        <w:rPr>
          <w:rFonts w:ascii="Arial" w:hAnsi="Arial" w:cs="Arial"/>
          <w:sz w:val="20"/>
          <w:szCs w:val="20"/>
          <w:lang w:val="en-US"/>
        </w:rPr>
        <w:t xml:space="preserve"> (2013), effectiveness of foliar application of organic fertilizers was determined by crop species, fertilizer form, concentration, frequency, and the stage of plant growth. However, foliar applications often fail to meet the demand of nutrients at specific vegetative or generative stages of growth.  Our reports confirmed that the use of LOF through foliar applications did not significantly improve yields of sweet corn (</w:t>
      </w:r>
      <w:proofErr w:type="spellStart"/>
      <w:r w:rsidRPr="00CD528E">
        <w:rPr>
          <w:rFonts w:ascii="Arial" w:hAnsi="Arial" w:cs="Arial"/>
          <w:sz w:val="20"/>
          <w:szCs w:val="20"/>
          <w:lang w:val="en-US"/>
        </w:rPr>
        <w:t>Fahrurrozi</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2015), carrots (</w:t>
      </w:r>
      <w:proofErr w:type="spellStart"/>
      <w:r w:rsidRPr="00CD528E">
        <w:rPr>
          <w:rFonts w:ascii="Arial" w:hAnsi="Arial" w:cs="Arial"/>
          <w:sz w:val="20"/>
          <w:szCs w:val="20"/>
          <w:lang w:val="en-US"/>
        </w:rPr>
        <w:t>Fahrurrozi</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2016).   Less response of both sweet corn and carrots to LOF might be related to the fact that this crop has narrow leaf morphology, since foliar fertilization is more effective in broad leaves than narrow leaves (</w:t>
      </w:r>
      <w:proofErr w:type="spellStart"/>
      <w:r w:rsidRPr="00CD528E">
        <w:rPr>
          <w:rFonts w:ascii="Arial" w:hAnsi="Arial" w:cs="Arial"/>
          <w:sz w:val="20"/>
          <w:szCs w:val="20"/>
          <w:lang w:val="en-US"/>
        </w:rPr>
        <w:t>Hagin</w:t>
      </w:r>
      <w:proofErr w:type="spellEnd"/>
      <w:r w:rsidRPr="00CD528E">
        <w:rPr>
          <w:rFonts w:ascii="Arial" w:hAnsi="Arial" w:cs="Arial"/>
          <w:sz w:val="20"/>
          <w:szCs w:val="20"/>
          <w:lang w:val="en-US"/>
        </w:rPr>
        <w:t xml:space="preserve"> and Tucker, 1982). The use of local based LOF had been reported to successfully increase yields of broad-leaf vegetables such as in tomato (</w:t>
      </w:r>
      <w:proofErr w:type="spellStart"/>
      <w:r w:rsidRPr="00CD528E">
        <w:rPr>
          <w:rFonts w:ascii="Arial" w:hAnsi="Arial" w:cs="Arial"/>
          <w:sz w:val="20"/>
          <w:szCs w:val="20"/>
          <w:lang w:val="en-US"/>
        </w:rPr>
        <w:t>Zhai</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2009) and marrow (</w:t>
      </w:r>
      <w:proofErr w:type="spellStart"/>
      <w:r w:rsidRPr="00CD528E">
        <w:rPr>
          <w:rFonts w:ascii="Arial" w:hAnsi="Arial" w:cs="Arial"/>
          <w:sz w:val="20"/>
          <w:szCs w:val="20"/>
          <w:lang w:val="en-US"/>
        </w:rPr>
        <w:t>Kostova</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xml:space="preserve">., 2014).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In organic sweet corn production which solid organic fertilizer mainly serves as a source of nutrient, direct application of LOF into the soil would be an alternative to support the less availability of solid organic fertilizer. This is very important since improved fertilizer and soil management could maintain highly productive sweet corn yield.  According to Fernandez and </w:t>
      </w:r>
      <w:proofErr w:type="spellStart"/>
      <w:r w:rsidRPr="00CD528E">
        <w:rPr>
          <w:rFonts w:ascii="Arial" w:hAnsi="Arial" w:cs="Arial"/>
          <w:sz w:val="20"/>
          <w:szCs w:val="20"/>
          <w:lang w:val="en-US"/>
        </w:rPr>
        <w:t>Eichert</w:t>
      </w:r>
      <w:proofErr w:type="spellEnd"/>
      <w:r w:rsidRPr="00CD528E">
        <w:rPr>
          <w:rFonts w:ascii="Arial" w:hAnsi="Arial" w:cs="Arial"/>
          <w:sz w:val="20"/>
          <w:szCs w:val="20"/>
          <w:lang w:val="en-US"/>
        </w:rPr>
        <w:t xml:space="preserve"> (2009) crop responses to foliar fertilizations are often inconsistent and not replicable elsewhere. Such reason endorses a more comprehensive finding on the use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for sweet corn production in closed agriculture production systems in highland of Rejang </w:t>
      </w:r>
      <w:proofErr w:type="spellStart"/>
      <w:r w:rsidRPr="00CD528E">
        <w:rPr>
          <w:rFonts w:ascii="Arial" w:hAnsi="Arial" w:cs="Arial"/>
          <w:sz w:val="20"/>
          <w:szCs w:val="20"/>
          <w:lang w:val="en-US"/>
        </w:rPr>
        <w:t>Lebong</w:t>
      </w:r>
      <w:proofErr w:type="spellEnd"/>
      <w:r w:rsidRPr="00CD528E">
        <w:rPr>
          <w:rFonts w:ascii="Arial" w:hAnsi="Arial" w:cs="Arial"/>
          <w:sz w:val="20"/>
          <w:szCs w:val="20"/>
          <w:lang w:val="en-US"/>
        </w:rPr>
        <w:t xml:space="preserve">, Bengkulu, Indonesia.  This experiment aimed to compare the methods of LOF applications and to determine the optimum concentrations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on yields of sweet corn in closed agriculture production system. </w:t>
      </w:r>
    </w:p>
    <w:p w:rsidR="00CD528E" w:rsidRPr="00CD528E" w:rsidRDefault="00CD528E" w:rsidP="00CD528E">
      <w:pPr>
        <w:pStyle w:val="ListParagraph"/>
        <w:spacing w:after="0" w:line="360" w:lineRule="auto"/>
        <w:jc w:val="both"/>
        <w:rPr>
          <w:rFonts w:ascii="Arial" w:hAnsi="Arial" w:cs="Arial"/>
          <w:sz w:val="20"/>
          <w:szCs w:val="20"/>
          <w:lang w:val="en-US"/>
        </w:rPr>
      </w:pPr>
    </w:p>
    <w:p w:rsidR="00CD528E" w:rsidRPr="00CD528E" w:rsidRDefault="00CD528E" w:rsidP="00CD528E">
      <w:pPr>
        <w:pStyle w:val="ListParagraph"/>
        <w:spacing w:after="0" w:line="360" w:lineRule="auto"/>
        <w:jc w:val="center"/>
        <w:rPr>
          <w:rFonts w:ascii="Arial" w:hAnsi="Arial" w:cs="Arial"/>
          <w:b/>
          <w:sz w:val="20"/>
          <w:szCs w:val="20"/>
          <w:lang w:val="en-US"/>
        </w:rPr>
      </w:pPr>
      <w:r w:rsidRPr="00CD528E">
        <w:rPr>
          <w:rFonts w:ascii="Arial" w:hAnsi="Arial" w:cs="Arial"/>
          <w:b/>
          <w:sz w:val="20"/>
          <w:szCs w:val="20"/>
          <w:lang w:val="en-US"/>
        </w:rPr>
        <w:t>MATERIALS AND METHODS</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Experiments were conducted at 1.050 m above sea level in Rejang </w:t>
      </w:r>
      <w:proofErr w:type="spellStart"/>
      <w:r w:rsidRPr="00CD528E">
        <w:rPr>
          <w:rFonts w:ascii="Arial" w:hAnsi="Arial" w:cs="Arial"/>
          <w:sz w:val="20"/>
          <w:szCs w:val="20"/>
          <w:lang w:val="en-US"/>
        </w:rPr>
        <w:t>Lebong</w:t>
      </w:r>
      <w:proofErr w:type="spellEnd"/>
      <w:r w:rsidRPr="00CD528E">
        <w:rPr>
          <w:rFonts w:ascii="Arial" w:hAnsi="Arial" w:cs="Arial"/>
          <w:sz w:val="20"/>
          <w:szCs w:val="20"/>
          <w:lang w:val="en-US"/>
        </w:rPr>
        <w:t xml:space="preserve"> highland (3°39'35.1" South Latitude and 102°34'23.6" East Longitude) in a Close</w:t>
      </w:r>
      <w:r w:rsidR="00872487">
        <w:rPr>
          <w:rFonts w:ascii="Arial" w:hAnsi="Arial" w:cs="Arial"/>
          <w:sz w:val="20"/>
          <w:szCs w:val="20"/>
          <w:lang w:val="en-US"/>
        </w:rPr>
        <w:t>d Agriculture Production System</w:t>
      </w:r>
      <w:r w:rsidRPr="00CD528E">
        <w:rPr>
          <w:rFonts w:ascii="Arial" w:hAnsi="Arial" w:cs="Arial"/>
          <w:sz w:val="20"/>
          <w:szCs w:val="20"/>
          <w:lang w:val="en-US"/>
        </w:rPr>
        <w:t xml:space="preserve"> (CAPS) research station.   CAPS </w:t>
      </w:r>
      <w:proofErr w:type="gramStart"/>
      <w:r w:rsidRPr="00CD528E">
        <w:rPr>
          <w:rFonts w:ascii="Arial" w:hAnsi="Arial" w:cs="Arial"/>
          <w:sz w:val="20"/>
          <w:szCs w:val="20"/>
          <w:lang w:val="en-US"/>
        </w:rPr>
        <w:t>is</w:t>
      </w:r>
      <w:proofErr w:type="gramEnd"/>
      <w:r w:rsidRPr="00CD528E">
        <w:rPr>
          <w:rFonts w:ascii="Arial" w:hAnsi="Arial" w:cs="Arial"/>
          <w:sz w:val="20"/>
          <w:szCs w:val="20"/>
          <w:lang w:val="en-US"/>
        </w:rPr>
        <w:t xml:space="preserve"> a model for integration of organic farming and dairy cattle farm to produce organic vegetables with the restriction of external synthetic agrochemical inputs.  In this model, cattle waste and organic farming byproducts were used to produce solid and liquid organic fertilizers to support growth and yields of vegetable crops. The cropping systems in </w:t>
      </w:r>
      <w:r w:rsidRPr="00CD528E">
        <w:rPr>
          <w:rFonts w:ascii="Arial" w:hAnsi="Arial" w:cs="Arial"/>
          <w:sz w:val="20"/>
          <w:szCs w:val="20"/>
          <w:lang w:val="en-US"/>
        </w:rPr>
        <w:lastRenderedPageBreak/>
        <w:t>CAPS were monoculture, multiple as well as in crop rotations that are alternately established in the same agricultural land. Overall objectives of CAPS are to improve the eff</w:t>
      </w:r>
      <w:r>
        <w:rPr>
          <w:rFonts w:ascii="Arial" w:hAnsi="Arial" w:cs="Arial"/>
          <w:sz w:val="20"/>
          <w:szCs w:val="20"/>
          <w:lang w:val="en-US"/>
        </w:rPr>
        <w:t>i</w:t>
      </w:r>
      <w:r w:rsidRPr="00CD528E">
        <w:rPr>
          <w:rFonts w:ascii="Arial" w:hAnsi="Arial" w:cs="Arial"/>
          <w:sz w:val="20"/>
          <w:szCs w:val="20"/>
          <w:lang w:val="en-US"/>
        </w:rPr>
        <w:t xml:space="preserve">ciency of agrochemical inputs and to maintain the sustainability of agricultural land.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Two separated experiments were conducted from February to May and March to June 2015, respectively, arranged in factorial completely randomized block design with three replicates. The first factor was application techniques of LOF (soil and foliar) and the second factor was five levels of LOF concentrations (0, 25, 50, 75, and 100 ppm).</w:t>
      </w:r>
      <w:r>
        <w:rPr>
          <w:rFonts w:ascii="Arial" w:hAnsi="Arial" w:cs="Arial"/>
          <w:sz w:val="20"/>
          <w:szCs w:val="20"/>
          <w:lang w:val="en-US"/>
        </w:rPr>
        <w:t xml:space="preserve">  </w:t>
      </w:r>
      <w:r w:rsidRPr="00CD528E">
        <w:rPr>
          <w:rFonts w:ascii="Arial" w:hAnsi="Arial" w:cs="Arial"/>
          <w:sz w:val="20"/>
          <w:szCs w:val="20"/>
          <w:lang w:val="en-US"/>
        </w:rPr>
        <w:t xml:space="preserve">Homemade LOF was made of cattle’s feces, cattle’s urine, topsoil, green mass of </w:t>
      </w:r>
      <w:proofErr w:type="spellStart"/>
      <w:r w:rsidRPr="00FD023E">
        <w:rPr>
          <w:rFonts w:ascii="Arial" w:hAnsi="Arial" w:cs="Arial"/>
          <w:i/>
          <w:sz w:val="20"/>
          <w:szCs w:val="20"/>
          <w:lang w:val="en-US"/>
        </w:rPr>
        <w:t>Tithonia</w:t>
      </w:r>
      <w:proofErr w:type="spellEnd"/>
      <w:r w:rsidRPr="00FD023E">
        <w:rPr>
          <w:rFonts w:ascii="Arial" w:hAnsi="Arial" w:cs="Arial"/>
          <w:i/>
          <w:sz w:val="20"/>
          <w:szCs w:val="20"/>
          <w:lang w:val="en-US"/>
        </w:rPr>
        <w:t xml:space="preserve"> </w:t>
      </w:r>
      <w:proofErr w:type="spellStart"/>
      <w:r w:rsidRPr="00FD023E">
        <w:rPr>
          <w:rFonts w:ascii="Arial" w:hAnsi="Arial" w:cs="Arial"/>
          <w:i/>
          <w:sz w:val="20"/>
          <w:szCs w:val="20"/>
          <w:lang w:val="en-US"/>
        </w:rPr>
        <w:t>diversifolia</w:t>
      </w:r>
      <w:proofErr w:type="spellEnd"/>
      <w:r w:rsidRPr="00CD528E">
        <w:rPr>
          <w:rFonts w:ascii="Arial" w:hAnsi="Arial" w:cs="Arial"/>
          <w:sz w:val="20"/>
          <w:szCs w:val="20"/>
          <w:lang w:val="en-US"/>
        </w:rPr>
        <w:t xml:space="preserve"> (</w:t>
      </w:r>
      <w:proofErr w:type="spellStart"/>
      <w:r w:rsidRPr="00CD528E">
        <w:rPr>
          <w:rFonts w:ascii="Arial" w:hAnsi="Arial" w:cs="Arial"/>
          <w:sz w:val="20"/>
          <w:szCs w:val="20"/>
          <w:lang w:val="en-US"/>
        </w:rPr>
        <w:t>Hamsley</w:t>
      </w:r>
      <w:proofErr w:type="spellEnd"/>
      <w:r w:rsidRPr="00CD528E">
        <w:rPr>
          <w:rFonts w:ascii="Arial" w:hAnsi="Arial" w:cs="Arial"/>
          <w:sz w:val="20"/>
          <w:szCs w:val="20"/>
          <w:lang w:val="en-US"/>
        </w:rPr>
        <w:t xml:space="preserve">) A. Gray, solution of 24-hour incubated 20 ml EM4 + 0.25 kg white sugar with weight ratio of 2:4:1:2:4. All these materials were together aerobically incubated in a blue plastic container to reach a volume of 200 L for five weeks.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Experimental plots were cultivated, harrowed and 15 soil beds of 5 m x 1 m in each block were constructed two weeks before planting. The experimental plot</w:t>
      </w:r>
      <w:r>
        <w:rPr>
          <w:rFonts w:ascii="Arial" w:hAnsi="Arial" w:cs="Arial"/>
          <w:sz w:val="20"/>
          <w:szCs w:val="20"/>
          <w:lang w:val="en-US"/>
        </w:rPr>
        <w:t>s</w:t>
      </w:r>
      <w:r w:rsidRPr="00CD528E">
        <w:rPr>
          <w:rFonts w:ascii="Arial" w:hAnsi="Arial" w:cs="Arial"/>
          <w:sz w:val="20"/>
          <w:szCs w:val="20"/>
          <w:lang w:val="en-US"/>
        </w:rPr>
        <w:t xml:space="preserve"> were separated by 0.5 m within the block and 1 m between the block.  Experimental plots have been continuously planted with organic vegetables since 2011 where organic fertilizer (</w:t>
      </w:r>
      <w:proofErr w:type="spellStart"/>
      <w:r w:rsidRPr="00CD528E">
        <w:rPr>
          <w:rFonts w:ascii="Arial" w:hAnsi="Arial" w:cs="Arial"/>
          <w:sz w:val="20"/>
          <w:szCs w:val="20"/>
          <w:lang w:val="en-US"/>
        </w:rPr>
        <w:t>vermicompost</w:t>
      </w:r>
      <w:proofErr w:type="spellEnd"/>
      <w:r w:rsidRPr="00CD528E">
        <w:rPr>
          <w:rFonts w:ascii="Arial" w:hAnsi="Arial" w:cs="Arial"/>
          <w:sz w:val="20"/>
          <w:szCs w:val="20"/>
          <w:lang w:val="en-US"/>
        </w:rPr>
        <w:t xml:space="preserve">) at rate of </w:t>
      </w:r>
      <w:proofErr w:type="gramStart"/>
      <w:r w:rsidRPr="00CD528E">
        <w:rPr>
          <w:rFonts w:ascii="Arial" w:hAnsi="Arial" w:cs="Arial"/>
          <w:sz w:val="20"/>
          <w:szCs w:val="20"/>
          <w:lang w:val="en-US"/>
        </w:rPr>
        <w:t>30 ton</w:t>
      </w:r>
      <w:proofErr w:type="gramEnd"/>
      <w:r w:rsidRPr="00CD528E">
        <w:rPr>
          <w:rFonts w:ascii="Arial" w:hAnsi="Arial" w:cs="Arial"/>
          <w:sz w:val="20"/>
          <w:szCs w:val="20"/>
          <w:lang w:val="en-US"/>
        </w:rPr>
        <w:t xml:space="preserve"> ha</w:t>
      </w:r>
      <w:r w:rsidRPr="00CD528E">
        <w:rPr>
          <w:rFonts w:ascii="Arial" w:hAnsi="Arial" w:cs="Arial"/>
          <w:sz w:val="20"/>
          <w:szCs w:val="20"/>
          <w:vertAlign w:val="superscript"/>
          <w:lang w:val="en-US"/>
        </w:rPr>
        <w:t>-1</w:t>
      </w:r>
      <w:r w:rsidRPr="00CD528E">
        <w:rPr>
          <w:rFonts w:ascii="Arial" w:hAnsi="Arial" w:cs="Arial"/>
          <w:sz w:val="20"/>
          <w:szCs w:val="20"/>
          <w:lang w:val="en-US"/>
        </w:rPr>
        <w:t xml:space="preserve"> year</w:t>
      </w:r>
      <w:r w:rsidRPr="00CD528E">
        <w:rPr>
          <w:rFonts w:ascii="Arial" w:hAnsi="Arial" w:cs="Arial"/>
          <w:sz w:val="20"/>
          <w:szCs w:val="20"/>
          <w:vertAlign w:val="superscript"/>
          <w:lang w:val="en-US"/>
        </w:rPr>
        <w:t>-1</w:t>
      </w:r>
      <w:r w:rsidRPr="00CD528E">
        <w:rPr>
          <w:rFonts w:ascii="Arial" w:hAnsi="Arial" w:cs="Arial"/>
          <w:sz w:val="20"/>
          <w:szCs w:val="20"/>
          <w:lang w:val="en-US"/>
        </w:rPr>
        <w:t xml:space="preserve"> (two growing season year</w:t>
      </w:r>
      <w:r w:rsidRPr="00CD528E">
        <w:rPr>
          <w:rFonts w:ascii="Arial" w:hAnsi="Arial" w:cs="Arial"/>
          <w:sz w:val="20"/>
          <w:szCs w:val="20"/>
          <w:vertAlign w:val="superscript"/>
          <w:lang w:val="en-US"/>
        </w:rPr>
        <w:t>-1</w:t>
      </w:r>
      <w:r w:rsidRPr="00CD528E">
        <w:rPr>
          <w:rFonts w:ascii="Arial" w:hAnsi="Arial" w:cs="Arial"/>
          <w:sz w:val="20"/>
          <w:szCs w:val="20"/>
          <w:lang w:val="en-US"/>
        </w:rPr>
        <w:t xml:space="preserve">).   No additional synthetic fertilizer had been applied to soil since 2011. Sweet-corn seeds (cv </w:t>
      </w:r>
      <w:proofErr w:type="spellStart"/>
      <w:r w:rsidRPr="00CD528E">
        <w:rPr>
          <w:rFonts w:ascii="Arial" w:hAnsi="Arial" w:cs="Arial"/>
          <w:sz w:val="20"/>
          <w:szCs w:val="20"/>
          <w:lang w:val="en-US"/>
        </w:rPr>
        <w:t>Talenta</w:t>
      </w:r>
      <w:proofErr w:type="spellEnd"/>
      <w:r w:rsidRPr="00CD528E">
        <w:rPr>
          <w:rFonts w:ascii="Arial" w:hAnsi="Arial" w:cs="Arial"/>
          <w:sz w:val="20"/>
          <w:szCs w:val="20"/>
          <w:lang w:val="en-US"/>
        </w:rPr>
        <w:t xml:space="preserve">) were planted at a spacing of 0.7 m x 0.2 m.  A week before planting, each soil bed was fertilized with </w:t>
      </w:r>
      <w:proofErr w:type="gramStart"/>
      <w:r w:rsidRPr="00CD528E">
        <w:rPr>
          <w:rFonts w:ascii="Arial" w:hAnsi="Arial" w:cs="Arial"/>
          <w:sz w:val="20"/>
          <w:szCs w:val="20"/>
          <w:lang w:val="en-US"/>
        </w:rPr>
        <w:t>15 ton</w:t>
      </w:r>
      <w:proofErr w:type="gramEnd"/>
      <w:r w:rsidRPr="00CD528E">
        <w:rPr>
          <w:rFonts w:ascii="Arial" w:hAnsi="Arial" w:cs="Arial"/>
          <w:sz w:val="20"/>
          <w:szCs w:val="20"/>
          <w:lang w:val="en-US"/>
        </w:rPr>
        <w:t xml:space="preserve"> ha</w:t>
      </w:r>
      <w:r w:rsidRPr="00CD528E">
        <w:rPr>
          <w:rFonts w:ascii="Arial" w:hAnsi="Arial" w:cs="Arial"/>
          <w:sz w:val="20"/>
          <w:szCs w:val="20"/>
          <w:vertAlign w:val="superscript"/>
          <w:lang w:val="en-US"/>
        </w:rPr>
        <w:t>-1</w:t>
      </w:r>
      <w:r w:rsidRPr="00CD528E">
        <w:rPr>
          <w:rFonts w:ascii="Arial" w:hAnsi="Arial" w:cs="Arial"/>
          <w:sz w:val="20"/>
          <w:szCs w:val="20"/>
          <w:lang w:val="en-US"/>
        </w:rPr>
        <w:t xml:space="preserve"> of </w:t>
      </w:r>
      <w:proofErr w:type="spellStart"/>
      <w:r w:rsidRPr="00CD528E">
        <w:rPr>
          <w:rFonts w:ascii="Arial" w:hAnsi="Arial" w:cs="Arial"/>
          <w:sz w:val="20"/>
          <w:szCs w:val="20"/>
          <w:lang w:val="en-US"/>
        </w:rPr>
        <w:t>vermicompost</w:t>
      </w:r>
      <w:proofErr w:type="spellEnd"/>
      <w:r w:rsidRPr="00CD528E">
        <w:rPr>
          <w:rFonts w:ascii="Arial" w:hAnsi="Arial" w:cs="Arial"/>
          <w:sz w:val="20"/>
          <w:szCs w:val="20"/>
          <w:lang w:val="en-US"/>
        </w:rPr>
        <w:t xml:space="preserve">.   Manual controls of weeds were bi-weekly controlled throughout the growing season. At the time of weeding, soil around the stem was raised to prevent up-rooting.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Each plant received 25, 25, 50, 100, 150, 250, and 250 mL LOF, respectively at 2, 3, 4, 5, 6, 7, and 8 weeks after planting. Application was conducted during calm day and no rain using knapsack sprayer. Sweet-corns were harvested at 70 days after planting.  Crop responses to treatments were measured by means of weight of husked ear (g), length of unhusked ear (cm), weight of unhusked ear (g), and diameter of unhusked ear (cm).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The effects of treatments were determined by analysis of variances.  Means of treatments were compared using Least Significant Difference at 95% level of confidence.</w:t>
      </w:r>
    </w:p>
    <w:p w:rsidR="00CD528E" w:rsidRPr="00CD528E" w:rsidRDefault="00CD528E" w:rsidP="00CD528E">
      <w:pPr>
        <w:pStyle w:val="ListParagraph"/>
        <w:spacing w:after="0" w:line="360" w:lineRule="auto"/>
        <w:jc w:val="both"/>
        <w:rPr>
          <w:rFonts w:ascii="Arial" w:hAnsi="Arial" w:cs="Arial"/>
          <w:sz w:val="20"/>
          <w:szCs w:val="20"/>
          <w:lang w:val="en-US"/>
        </w:rPr>
      </w:pPr>
    </w:p>
    <w:p w:rsidR="00CD528E" w:rsidRPr="00CD528E" w:rsidRDefault="00CD528E" w:rsidP="00CD528E">
      <w:pPr>
        <w:pStyle w:val="ListParagraph"/>
        <w:spacing w:after="0" w:line="360" w:lineRule="auto"/>
        <w:jc w:val="center"/>
        <w:rPr>
          <w:rFonts w:ascii="Arial" w:hAnsi="Arial" w:cs="Arial"/>
          <w:b/>
          <w:sz w:val="20"/>
          <w:szCs w:val="20"/>
          <w:lang w:val="en-US"/>
        </w:rPr>
      </w:pPr>
      <w:r w:rsidRPr="00CD528E">
        <w:rPr>
          <w:rFonts w:ascii="Arial" w:hAnsi="Arial" w:cs="Arial"/>
          <w:b/>
          <w:sz w:val="20"/>
          <w:szCs w:val="20"/>
          <w:lang w:val="en-US"/>
        </w:rPr>
        <w:t>RESULTS AND DISCUSSION</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Results indicated that the use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(concentrations, application methods and its interactions) have the same effects on weight of husked ear, length of unhusked ear, weight of unhusked ear, and diameter of unhusked ear of sweet corn (Table 1).  </w:t>
      </w:r>
    </w:p>
    <w:p w:rsidR="00CD528E" w:rsidRPr="00CD528E" w:rsidRDefault="00CD528E" w:rsidP="00CD528E">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Results indicated that both soil and foliar applications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had similar effects weight of husked ear, length of unhusked ear, weight of unhusked ear, and diameter of unhusked ear of sweet corn (Table 1).  This finding was in accordance to those reported other researchers where both soil and foliar application of urea had the same effects on growth and yield of pineapple (Reddy </w:t>
      </w:r>
      <w:r w:rsidRPr="00DA490A">
        <w:rPr>
          <w:rFonts w:ascii="Arial" w:hAnsi="Arial" w:cs="Arial"/>
          <w:i/>
          <w:sz w:val="20"/>
          <w:szCs w:val="20"/>
          <w:lang w:val="en-US"/>
        </w:rPr>
        <w:t>et al</w:t>
      </w:r>
      <w:r w:rsidRPr="00CD528E">
        <w:rPr>
          <w:rFonts w:ascii="Arial" w:hAnsi="Arial" w:cs="Arial"/>
          <w:sz w:val="20"/>
          <w:szCs w:val="20"/>
          <w:lang w:val="en-US"/>
        </w:rPr>
        <w:t>., 1983), grape (</w:t>
      </w:r>
      <w:proofErr w:type="spellStart"/>
      <w:r w:rsidRPr="00CD528E">
        <w:rPr>
          <w:rFonts w:ascii="Arial" w:hAnsi="Arial" w:cs="Arial"/>
          <w:sz w:val="20"/>
          <w:szCs w:val="20"/>
          <w:lang w:val="en-US"/>
        </w:rPr>
        <w:t>Bratasevec</w:t>
      </w:r>
      <w:proofErr w:type="spellEnd"/>
      <w:r w:rsidRPr="00CD528E">
        <w:rPr>
          <w:rFonts w:ascii="Arial" w:hAnsi="Arial" w:cs="Arial"/>
          <w:sz w:val="20"/>
          <w:szCs w:val="20"/>
          <w:lang w:val="en-US"/>
        </w:rPr>
        <w:t xml:space="preserve"> </w:t>
      </w:r>
      <w:r w:rsidRPr="00DA490A">
        <w:rPr>
          <w:rFonts w:ascii="Arial" w:hAnsi="Arial" w:cs="Arial"/>
          <w:i/>
          <w:sz w:val="20"/>
          <w:szCs w:val="20"/>
          <w:lang w:val="en-US"/>
        </w:rPr>
        <w:t>et al</w:t>
      </w:r>
      <w:r w:rsidRPr="00CD528E">
        <w:rPr>
          <w:rFonts w:ascii="Arial" w:hAnsi="Arial" w:cs="Arial"/>
          <w:sz w:val="20"/>
          <w:szCs w:val="20"/>
          <w:lang w:val="en-US"/>
        </w:rPr>
        <w:t>., 2013), and soybean (</w:t>
      </w:r>
      <w:proofErr w:type="spellStart"/>
      <w:r w:rsidRPr="00CD528E">
        <w:rPr>
          <w:rFonts w:ascii="Arial" w:hAnsi="Arial" w:cs="Arial"/>
          <w:sz w:val="20"/>
          <w:szCs w:val="20"/>
          <w:lang w:val="en-US"/>
        </w:rPr>
        <w:t>Ashour</w:t>
      </w:r>
      <w:proofErr w:type="spellEnd"/>
      <w:r w:rsidRPr="00CD528E">
        <w:rPr>
          <w:rFonts w:ascii="Arial" w:hAnsi="Arial" w:cs="Arial"/>
          <w:sz w:val="20"/>
          <w:szCs w:val="20"/>
          <w:lang w:val="en-US"/>
        </w:rPr>
        <w:t xml:space="preserve"> and </w:t>
      </w:r>
      <w:proofErr w:type="spellStart"/>
      <w:r w:rsidRPr="00CD528E">
        <w:rPr>
          <w:rFonts w:ascii="Arial" w:hAnsi="Arial" w:cs="Arial"/>
          <w:sz w:val="20"/>
          <w:szCs w:val="20"/>
          <w:lang w:val="en-US"/>
        </w:rPr>
        <w:lastRenderedPageBreak/>
        <w:t>Thalooth</w:t>
      </w:r>
      <w:proofErr w:type="spellEnd"/>
      <w:r w:rsidRPr="00CD528E">
        <w:rPr>
          <w:rFonts w:ascii="Arial" w:hAnsi="Arial" w:cs="Arial"/>
          <w:sz w:val="20"/>
          <w:szCs w:val="20"/>
          <w:lang w:val="en-US"/>
        </w:rPr>
        <w:t xml:space="preserve">, 1983).   This result, however, was not </w:t>
      </w:r>
      <w:proofErr w:type="gramStart"/>
      <w:r w:rsidRPr="00CD528E">
        <w:rPr>
          <w:rFonts w:ascii="Arial" w:hAnsi="Arial" w:cs="Arial"/>
          <w:sz w:val="20"/>
          <w:szCs w:val="20"/>
          <w:lang w:val="en-US"/>
        </w:rPr>
        <w:t>similar to</w:t>
      </w:r>
      <w:proofErr w:type="gramEnd"/>
      <w:r w:rsidRPr="00CD528E">
        <w:rPr>
          <w:rFonts w:ascii="Arial" w:hAnsi="Arial" w:cs="Arial"/>
          <w:sz w:val="20"/>
          <w:szCs w:val="20"/>
          <w:lang w:val="en-US"/>
        </w:rPr>
        <w:t xml:space="preserve"> that reported by Khan </w:t>
      </w:r>
      <w:r w:rsidRPr="00CD528E">
        <w:rPr>
          <w:rFonts w:ascii="Arial" w:hAnsi="Arial" w:cs="Arial"/>
          <w:i/>
          <w:sz w:val="20"/>
          <w:szCs w:val="20"/>
          <w:lang w:val="en-US"/>
        </w:rPr>
        <w:t>et al</w:t>
      </w:r>
      <w:r w:rsidRPr="00CD528E">
        <w:rPr>
          <w:rFonts w:ascii="Arial" w:hAnsi="Arial" w:cs="Arial"/>
          <w:sz w:val="20"/>
          <w:szCs w:val="20"/>
          <w:lang w:val="en-US"/>
        </w:rPr>
        <w:t xml:space="preserve">. (2009), foliar application of urea significantly increased plant height, spike length, number of grains per spike, hundred grain weight, biological yield, grain yield and N uptake by wheat.  Although foliar application provides practical aspects to comply the advancement of soluble fertilizer and machinery technologies and to reduce the risks of physiological diseases of plants caused by deficiency or scarcity of a </w:t>
      </w:r>
      <w:proofErr w:type="gramStart"/>
      <w:r w:rsidRPr="00CD528E">
        <w:rPr>
          <w:rFonts w:ascii="Arial" w:hAnsi="Arial" w:cs="Arial"/>
          <w:sz w:val="20"/>
          <w:szCs w:val="20"/>
          <w:lang w:val="en-US"/>
        </w:rPr>
        <w:t>particular element</w:t>
      </w:r>
      <w:proofErr w:type="gramEnd"/>
      <w:r w:rsidRPr="00CD528E">
        <w:rPr>
          <w:rFonts w:ascii="Arial" w:hAnsi="Arial" w:cs="Arial"/>
          <w:sz w:val="20"/>
          <w:szCs w:val="20"/>
          <w:lang w:val="en-US"/>
        </w:rPr>
        <w:t xml:space="preserve"> (</w:t>
      </w:r>
      <w:proofErr w:type="spellStart"/>
      <w:r w:rsidRPr="00CD528E">
        <w:rPr>
          <w:rFonts w:ascii="Arial" w:hAnsi="Arial" w:cs="Arial"/>
          <w:sz w:val="20"/>
          <w:szCs w:val="20"/>
          <w:lang w:val="en-US"/>
        </w:rPr>
        <w:t>Fageria</w:t>
      </w:r>
      <w:proofErr w:type="spellEnd"/>
      <w:r w:rsidRPr="00CD528E">
        <w:rPr>
          <w:rFonts w:ascii="Arial" w:hAnsi="Arial" w:cs="Arial"/>
          <w:sz w:val="20"/>
          <w:szCs w:val="20"/>
          <w:lang w:val="en-US"/>
        </w:rPr>
        <w:t xml:space="preserve"> </w:t>
      </w:r>
      <w:r w:rsidRPr="00CD528E">
        <w:rPr>
          <w:rFonts w:ascii="Arial" w:hAnsi="Arial" w:cs="Arial"/>
          <w:i/>
          <w:sz w:val="20"/>
          <w:szCs w:val="20"/>
          <w:lang w:val="en-US"/>
        </w:rPr>
        <w:t>et al</w:t>
      </w:r>
      <w:r w:rsidRPr="00CD528E">
        <w:rPr>
          <w:rFonts w:ascii="Arial" w:hAnsi="Arial" w:cs="Arial"/>
          <w:sz w:val="20"/>
          <w:szCs w:val="20"/>
          <w:lang w:val="en-US"/>
        </w:rPr>
        <w:t xml:space="preserve">., 2009), foliar fertilizing could not substitute soil fertilization and served as supplement of soil applications (Kannan, 2010). It appeared that foliar feeding might only be effective when the availability of soil nutrients was less available or insufficient. </w:t>
      </w:r>
    </w:p>
    <w:p w:rsidR="00CD528E" w:rsidRPr="00CD528E" w:rsidRDefault="00CD528E" w:rsidP="00DA490A">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This finding suggested that application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could be effectively applied through both soil and foliar applications.   From the practical point of view, there is no point to have foliar application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 LOF for sweet corn production since it will cost farmers.  Consequently, the complementary nutrient supply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for sweet corn production could be directly sprayed to the soil, </w:t>
      </w:r>
      <w:r w:rsidRPr="00DA490A">
        <w:rPr>
          <w:rFonts w:ascii="Arial" w:hAnsi="Arial" w:cs="Arial"/>
          <w:i/>
          <w:sz w:val="20"/>
          <w:szCs w:val="20"/>
          <w:lang w:val="en-US"/>
        </w:rPr>
        <w:t>i.e.</w:t>
      </w:r>
      <w:r w:rsidRPr="00CD528E">
        <w:rPr>
          <w:rFonts w:ascii="Arial" w:hAnsi="Arial" w:cs="Arial"/>
          <w:sz w:val="20"/>
          <w:szCs w:val="20"/>
          <w:lang w:val="en-US"/>
        </w:rPr>
        <w:t xml:space="preserve"> incorporated with irrigations, drips or sprinkle irrigation to save labor costs.  Abbas and Ali (2011) suggested that foliar fertilization is usually practiced as supplement of soil fertilization. Previously, McCall (1980) concluded that effectiveness of foliar fertilizer application might be improved by proper management of spraying pressures, frequent applications with low dosages and application through drip or sprinkle irrigation.  However, it will be very challenging for farmers to install drip or sprinkled irrigation systems for their organic sweet corn production in the farm to have successful LOF applications, where production costs should be optimally reduced.</w:t>
      </w:r>
    </w:p>
    <w:p w:rsidR="00CD528E" w:rsidRPr="00CD528E" w:rsidRDefault="00CD528E" w:rsidP="00DA490A">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It might be appeared that those above results were related to the fact that concentrations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(25 to 100 ppm) did not increase weight of husked ear, length of unhusked ear, weight of unhusked ear, and diameter of unhusked ear of sweetcorn compared to without LOF (Table 1). It was possible that continuous applications of </w:t>
      </w:r>
      <w:proofErr w:type="spellStart"/>
      <w:r w:rsidRPr="00CD528E">
        <w:rPr>
          <w:rFonts w:ascii="Arial" w:hAnsi="Arial" w:cs="Arial"/>
          <w:sz w:val="20"/>
          <w:szCs w:val="20"/>
          <w:lang w:val="en-US"/>
        </w:rPr>
        <w:t>vermicompost</w:t>
      </w:r>
      <w:proofErr w:type="spellEnd"/>
      <w:r w:rsidRPr="00CD528E">
        <w:rPr>
          <w:rFonts w:ascii="Arial" w:hAnsi="Arial" w:cs="Arial"/>
          <w:sz w:val="20"/>
          <w:szCs w:val="20"/>
          <w:lang w:val="en-US"/>
        </w:rPr>
        <w:t xml:space="preserve"> since 2011 in the experiment plots at the rate of </w:t>
      </w:r>
      <w:proofErr w:type="gramStart"/>
      <w:r w:rsidRPr="00CD528E">
        <w:rPr>
          <w:rFonts w:ascii="Arial" w:hAnsi="Arial" w:cs="Arial"/>
          <w:sz w:val="20"/>
          <w:szCs w:val="20"/>
          <w:lang w:val="en-US"/>
        </w:rPr>
        <w:t>30 ton</w:t>
      </w:r>
      <w:proofErr w:type="gramEnd"/>
      <w:r w:rsidRPr="00CD528E">
        <w:rPr>
          <w:rFonts w:ascii="Arial" w:hAnsi="Arial" w:cs="Arial"/>
          <w:sz w:val="20"/>
          <w:szCs w:val="20"/>
          <w:lang w:val="en-US"/>
        </w:rPr>
        <w:t xml:space="preserve"> ha</w:t>
      </w:r>
      <w:r w:rsidRPr="00DA490A">
        <w:rPr>
          <w:rFonts w:ascii="Arial" w:hAnsi="Arial" w:cs="Arial"/>
          <w:sz w:val="20"/>
          <w:szCs w:val="20"/>
          <w:vertAlign w:val="superscript"/>
          <w:lang w:val="en-US"/>
        </w:rPr>
        <w:t>-1</w:t>
      </w:r>
      <w:r w:rsidRPr="00CD528E">
        <w:rPr>
          <w:rFonts w:ascii="Arial" w:hAnsi="Arial" w:cs="Arial"/>
          <w:sz w:val="20"/>
          <w:szCs w:val="20"/>
          <w:lang w:val="en-US"/>
        </w:rPr>
        <w:t xml:space="preserve"> year</w:t>
      </w:r>
      <w:r w:rsidRPr="00DA490A">
        <w:rPr>
          <w:rFonts w:ascii="Arial" w:hAnsi="Arial" w:cs="Arial"/>
          <w:sz w:val="20"/>
          <w:szCs w:val="20"/>
          <w:vertAlign w:val="superscript"/>
          <w:lang w:val="en-US"/>
        </w:rPr>
        <w:t>-1</w:t>
      </w:r>
      <w:r w:rsidRPr="00CD528E">
        <w:rPr>
          <w:rFonts w:ascii="Arial" w:hAnsi="Arial" w:cs="Arial"/>
          <w:sz w:val="20"/>
          <w:szCs w:val="20"/>
          <w:lang w:val="en-US"/>
        </w:rPr>
        <w:t xml:space="preserve"> are sufficient enough to support sweet corn growth and yields.  Soil analysis before planting indicated that experiment site had 6.14 %, 0.32 %, 58.38 ppm, and 3.6 me</w:t>
      </w:r>
      <w:r w:rsidRPr="00DA490A">
        <w:rPr>
          <w:rFonts w:ascii="Arial" w:hAnsi="Arial" w:cs="Arial"/>
          <w:sz w:val="20"/>
          <w:szCs w:val="20"/>
          <w:vertAlign w:val="superscript"/>
          <w:lang w:val="en-US"/>
        </w:rPr>
        <w:t>-100g</w:t>
      </w:r>
      <w:r w:rsidRPr="00CD528E">
        <w:rPr>
          <w:rFonts w:ascii="Arial" w:hAnsi="Arial" w:cs="Arial"/>
          <w:sz w:val="20"/>
          <w:szCs w:val="20"/>
          <w:lang w:val="en-US"/>
        </w:rPr>
        <w:t xml:space="preserve"> of C-organic, N-total, P</w:t>
      </w:r>
      <w:r w:rsidRPr="00DA490A">
        <w:rPr>
          <w:rFonts w:ascii="Arial" w:hAnsi="Arial" w:cs="Arial"/>
          <w:sz w:val="20"/>
          <w:szCs w:val="20"/>
          <w:vertAlign w:val="subscript"/>
          <w:lang w:val="en-US"/>
        </w:rPr>
        <w:t>2</w:t>
      </w:r>
      <w:r w:rsidRPr="00CD528E">
        <w:rPr>
          <w:rFonts w:ascii="Arial" w:hAnsi="Arial" w:cs="Arial"/>
          <w:sz w:val="20"/>
          <w:szCs w:val="20"/>
          <w:lang w:val="en-US"/>
        </w:rPr>
        <w:t>0</w:t>
      </w:r>
      <w:r w:rsidRPr="00DA490A">
        <w:rPr>
          <w:rFonts w:ascii="Arial" w:hAnsi="Arial" w:cs="Arial"/>
          <w:sz w:val="20"/>
          <w:szCs w:val="20"/>
          <w:vertAlign w:val="subscript"/>
          <w:lang w:val="en-US"/>
        </w:rPr>
        <w:t>5</w:t>
      </w:r>
      <w:r w:rsidRPr="00CD528E">
        <w:rPr>
          <w:rFonts w:ascii="Arial" w:hAnsi="Arial" w:cs="Arial"/>
          <w:sz w:val="20"/>
          <w:szCs w:val="20"/>
          <w:lang w:val="en-US"/>
        </w:rPr>
        <w:t xml:space="preserve">, and K, respectively.  The residual effects of solid organic fertilizers might bring about such phenomenon.  It is presumably that high content C-organic leveled the sweet corn yields, especially with additional </w:t>
      </w:r>
      <w:proofErr w:type="gramStart"/>
      <w:r w:rsidRPr="00CD528E">
        <w:rPr>
          <w:rFonts w:ascii="Arial" w:hAnsi="Arial" w:cs="Arial"/>
          <w:sz w:val="20"/>
          <w:szCs w:val="20"/>
          <w:lang w:val="en-US"/>
        </w:rPr>
        <w:t>15 ton</w:t>
      </w:r>
      <w:proofErr w:type="gramEnd"/>
      <w:r w:rsidRPr="00CD528E">
        <w:rPr>
          <w:rFonts w:ascii="Arial" w:hAnsi="Arial" w:cs="Arial"/>
          <w:sz w:val="20"/>
          <w:szCs w:val="20"/>
          <w:lang w:val="en-US"/>
        </w:rPr>
        <w:t xml:space="preserve"> ha</w:t>
      </w:r>
      <w:r w:rsidRPr="00DA490A">
        <w:rPr>
          <w:rFonts w:ascii="Arial" w:hAnsi="Arial" w:cs="Arial"/>
          <w:sz w:val="20"/>
          <w:szCs w:val="20"/>
          <w:vertAlign w:val="superscript"/>
          <w:lang w:val="en-US"/>
        </w:rPr>
        <w:t>-1</w:t>
      </w:r>
      <w:r w:rsidRPr="00CD528E">
        <w:rPr>
          <w:rFonts w:ascii="Arial" w:hAnsi="Arial" w:cs="Arial"/>
          <w:sz w:val="20"/>
          <w:szCs w:val="20"/>
          <w:lang w:val="en-US"/>
        </w:rPr>
        <w:t xml:space="preserve"> of </w:t>
      </w:r>
      <w:proofErr w:type="spellStart"/>
      <w:r w:rsidRPr="00CD528E">
        <w:rPr>
          <w:rFonts w:ascii="Arial" w:hAnsi="Arial" w:cs="Arial"/>
          <w:sz w:val="20"/>
          <w:szCs w:val="20"/>
          <w:lang w:val="en-US"/>
        </w:rPr>
        <w:t>vermicompost</w:t>
      </w:r>
      <w:proofErr w:type="spellEnd"/>
      <w:r w:rsidRPr="00CD528E">
        <w:rPr>
          <w:rFonts w:ascii="Arial" w:hAnsi="Arial" w:cs="Arial"/>
          <w:sz w:val="20"/>
          <w:szCs w:val="20"/>
          <w:lang w:val="en-US"/>
        </w:rPr>
        <w:t xml:space="preserve"> applied in 2015. Ros </w:t>
      </w:r>
      <w:r w:rsidRPr="00DA490A">
        <w:rPr>
          <w:rFonts w:ascii="Arial" w:hAnsi="Arial" w:cs="Arial"/>
          <w:i/>
          <w:sz w:val="20"/>
          <w:szCs w:val="20"/>
          <w:lang w:val="en-US"/>
        </w:rPr>
        <w:t>et al</w:t>
      </w:r>
      <w:r w:rsidRPr="00CD528E">
        <w:rPr>
          <w:rFonts w:ascii="Arial" w:hAnsi="Arial" w:cs="Arial"/>
          <w:sz w:val="20"/>
          <w:szCs w:val="20"/>
          <w:lang w:val="en-US"/>
        </w:rPr>
        <w:t xml:space="preserve">. (2006) found that long-term compost treatments (over a period of 12 years) increased organic-C and total-N levels in soils and had positive effects on the soil biota. Research conducted by Jackson et al. (2013) suggested that compost has a residual effect on the soil nutrient and sweet corn yield.  The average weight of husked ear, length of unhusked ear, and diameter of unhusked ear of sweet corn from this experiment were 235.84 g, 16.90 cm and 4.56 cm.  These features somehow comply to variety descriptions of </w:t>
      </w:r>
      <w:proofErr w:type="spellStart"/>
      <w:r w:rsidRPr="00CD528E">
        <w:rPr>
          <w:rFonts w:ascii="Arial" w:hAnsi="Arial" w:cs="Arial"/>
          <w:sz w:val="20"/>
          <w:szCs w:val="20"/>
          <w:lang w:val="en-US"/>
        </w:rPr>
        <w:t>Talenta</w:t>
      </w:r>
      <w:proofErr w:type="spellEnd"/>
      <w:r w:rsidRPr="00CD528E">
        <w:rPr>
          <w:rFonts w:ascii="Arial" w:hAnsi="Arial" w:cs="Arial"/>
          <w:sz w:val="20"/>
          <w:szCs w:val="20"/>
          <w:lang w:val="en-US"/>
        </w:rPr>
        <w:t xml:space="preserve"> sweet corn used where the weight of husked ear and diameter of unhusked ear were 221.20–336.70 g and 4.50–5.40 cm.  However, the average length of unhusked ear of sweet corn from this experiment was lower that variety </w:t>
      </w:r>
      <w:r w:rsidRPr="00CD528E">
        <w:rPr>
          <w:rFonts w:ascii="Arial" w:hAnsi="Arial" w:cs="Arial"/>
          <w:sz w:val="20"/>
          <w:szCs w:val="20"/>
          <w:lang w:val="en-US"/>
        </w:rPr>
        <w:lastRenderedPageBreak/>
        <w:t>descriptions (</w:t>
      </w:r>
      <w:r w:rsidRPr="00DA490A">
        <w:rPr>
          <w:rFonts w:ascii="Arial" w:hAnsi="Arial" w:cs="Arial"/>
          <w:i/>
          <w:sz w:val="20"/>
          <w:szCs w:val="20"/>
          <w:lang w:val="en-US"/>
        </w:rPr>
        <w:t>i.e</w:t>
      </w:r>
      <w:r w:rsidRPr="00CD528E">
        <w:rPr>
          <w:rFonts w:ascii="Arial" w:hAnsi="Arial" w:cs="Arial"/>
          <w:sz w:val="20"/>
          <w:szCs w:val="20"/>
          <w:lang w:val="en-US"/>
        </w:rPr>
        <w:t>., 19.70–23.50 cm). Regardless the residual effects of solid organic fertilizers on sweet corn yields, there some explanations might reveal such insignificant effect of LOF concentrations on sweet corn yields. Since the effectiveness of crop responses to LOF is also determined by its concentration (</w:t>
      </w:r>
      <w:proofErr w:type="spellStart"/>
      <w:r w:rsidRPr="00CD528E">
        <w:rPr>
          <w:rFonts w:ascii="Arial" w:hAnsi="Arial" w:cs="Arial"/>
          <w:sz w:val="20"/>
          <w:szCs w:val="20"/>
          <w:lang w:val="en-US"/>
        </w:rPr>
        <w:t>Haytova</w:t>
      </w:r>
      <w:proofErr w:type="spellEnd"/>
      <w:r w:rsidRPr="00CD528E">
        <w:rPr>
          <w:rFonts w:ascii="Arial" w:hAnsi="Arial" w:cs="Arial"/>
          <w:sz w:val="20"/>
          <w:szCs w:val="20"/>
          <w:lang w:val="en-US"/>
        </w:rPr>
        <w:t xml:space="preserve">, 2013), it appeared that LOF concentration used in this experiment was not sufficient enough to support growth and yields of sweet corn. In addition to apply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with higher concentration, manipulating the composition of green plant of </w:t>
      </w:r>
      <w:proofErr w:type="spellStart"/>
      <w:r w:rsidRPr="00DA490A">
        <w:rPr>
          <w:rFonts w:ascii="Arial" w:hAnsi="Arial" w:cs="Arial"/>
          <w:i/>
          <w:sz w:val="20"/>
          <w:szCs w:val="20"/>
          <w:lang w:val="en-US"/>
        </w:rPr>
        <w:t>Tithonia</w:t>
      </w:r>
      <w:proofErr w:type="spellEnd"/>
      <w:r w:rsidRPr="00DA490A">
        <w:rPr>
          <w:rFonts w:ascii="Arial" w:hAnsi="Arial" w:cs="Arial"/>
          <w:i/>
          <w:sz w:val="20"/>
          <w:szCs w:val="20"/>
          <w:lang w:val="en-US"/>
        </w:rPr>
        <w:t xml:space="preserve"> </w:t>
      </w:r>
      <w:proofErr w:type="spellStart"/>
      <w:r w:rsidRPr="00DA490A">
        <w:rPr>
          <w:rFonts w:ascii="Arial" w:hAnsi="Arial" w:cs="Arial"/>
          <w:i/>
          <w:sz w:val="20"/>
          <w:szCs w:val="20"/>
          <w:lang w:val="en-US"/>
        </w:rPr>
        <w:t>diversifolia</w:t>
      </w:r>
      <w:proofErr w:type="spellEnd"/>
      <w:r w:rsidRPr="00DA490A">
        <w:rPr>
          <w:rFonts w:ascii="Arial" w:hAnsi="Arial" w:cs="Arial"/>
          <w:i/>
          <w:sz w:val="20"/>
          <w:szCs w:val="20"/>
          <w:lang w:val="en-US"/>
        </w:rPr>
        <w:t xml:space="preserve"> </w:t>
      </w:r>
      <w:r w:rsidRPr="00CD528E">
        <w:rPr>
          <w:rFonts w:ascii="Arial" w:hAnsi="Arial" w:cs="Arial"/>
          <w:sz w:val="20"/>
          <w:szCs w:val="20"/>
          <w:lang w:val="en-US"/>
        </w:rPr>
        <w:t>(</w:t>
      </w:r>
      <w:proofErr w:type="spellStart"/>
      <w:r w:rsidRPr="00CD528E">
        <w:rPr>
          <w:rFonts w:ascii="Arial" w:hAnsi="Arial" w:cs="Arial"/>
          <w:sz w:val="20"/>
          <w:szCs w:val="20"/>
          <w:lang w:val="en-US"/>
        </w:rPr>
        <w:t>Hamsley</w:t>
      </w:r>
      <w:proofErr w:type="spellEnd"/>
      <w:r w:rsidRPr="00CD528E">
        <w:rPr>
          <w:rFonts w:ascii="Arial" w:hAnsi="Arial" w:cs="Arial"/>
          <w:sz w:val="20"/>
          <w:szCs w:val="20"/>
          <w:lang w:val="en-US"/>
        </w:rPr>
        <w:t xml:space="preserve">) A. Gray and cattle’s feces would be one of possible way to have better effect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that will further increase growth and yields of sweet-corn.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-enriched LOF used in this experiment contained 3.36%, 146 ppm, and 0.0325% of N, P, and K. Nitrogen content of this LOF somehow comply to the standard quality for organic fertilizer issued by Indonesian Standardization Board (SNI 19-7030-2004) where total N should be &gt;0.4%, but not the case of P and K which must be &gt;0.10% (P</w:t>
      </w:r>
      <w:r w:rsidRPr="0036680B">
        <w:rPr>
          <w:rFonts w:ascii="Arial" w:hAnsi="Arial" w:cs="Arial"/>
          <w:sz w:val="20"/>
          <w:szCs w:val="20"/>
          <w:vertAlign w:val="subscript"/>
          <w:lang w:val="en-US"/>
        </w:rPr>
        <w:t>2</w:t>
      </w:r>
      <w:r w:rsidRPr="00CD528E">
        <w:rPr>
          <w:rFonts w:ascii="Arial" w:hAnsi="Arial" w:cs="Arial"/>
          <w:sz w:val="20"/>
          <w:szCs w:val="20"/>
          <w:lang w:val="en-US"/>
        </w:rPr>
        <w:t>O</w:t>
      </w:r>
      <w:r w:rsidRPr="0036680B">
        <w:rPr>
          <w:rFonts w:ascii="Arial" w:hAnsi="Arial" w:cs="Arial"/>
          <w:sz w:val="20"/>
          <w:szCs w:val="20"/>
          <w:vertAlign w:val="subscript"/>
          <w:lang w:val="en-US"/>
        </w:rPr>
        <w:t>5</w:t>
      </w:r>
      <w:r w:rsidRPr="00CD528E">
        <w:rPr>
          <w:rFonts w:ascii="Arial" w:hAnsi="Arial" w:cs="Arial"/>
          <w:sz w:val="20"/>
          <w:szCs w:val="20"/>
          <w:lang w:val="en-US"/>
        </w:rPr>
        <w:t>) and &gt;0.20% (K</w:t>
      </w:r>
      <w:r w:rsidRPr="0036680B">
        <w:rPr>
          <w:rFonts w:ascii="Arial" w:hAnsi="Arial" w:cs="Arial"/>
          <w:sz w:val="20"/>
          <w:szCs w:val="20"/>
          <w:vertAlign w:val="subscript"/>
          <w:lang w:val="en-US"/>
        </w:rPr>
        <w:t>2</w:t>
      </w:r>
      <w:r w:rsidRPr="00CD528E">
        <w:rPr>
          <w:rFonts w:ascii="Arial" w:hAnsi="Arial" w:cs="Arial"/>
          <w:sz w:val="20"/>
          <w:szCs w:val="20"/>
          <w:lang w:val="en-US"/>
        </w:rPr>
        <w:t xml:space="preserve">O).  This low content of P (146 ppm) and K (0.0325%) might have presumably limited LOF effects on sweet corn growth and sweet corn yields.  However, increasing LOF concentration might be carefully implemented, since research conducted by </w:t>
      </w:r>
      <w:proofErr w:type="spellStart"/>
      <w:r w:rsidRPr="00CD528E">
        <w:rPr>
          <w:rFonts w:ascii="Arial" w:hAnsi="Arial" w:cs="Arial"/>
          <w:sz w:val="20"/>
          <w:szCs w:val="20"/>
          <w:lang w:val="en-US"/>
        </w:rPr>
        <w:t>Sopha</w:t>
      </w:r>
      <w:proofErr w:type="spellEnd"/>
      <w:r w:rsidRPr="00CD528E">
        <w:rPr>
          <w:rFonts w:ascii="Arial" w:hAnsi="Arial" w:cs="Arial"/>
          <w:sz w:val="20"/>
          <w:szCs w:val="20"/>
          <w:lang w:val="en-US"/>
        </w:rPr>
        <w:t xml:space="preserve"> and </w:t>
      </w:r>
      <w:proofErr w:type="spellStart"/>
      <w:r w:rsidRPr="00CD528E">
        <w:rPr>
          <w:rFonts w:ascii="Arial" w:hAnsi="Arial" w:cs="Arial"/>
          <w:sz w:val="20"/>
          <w:szCs w:val="20"/>
          <w:lang w:val="en-US"/>
        </w:rPr>
        <w:t>Uhan</w:t>
      </w:r>
      <w:proofErr w:type="spellEnd"/>
      <w:r w:rsidRPr="00CD528E">
        <w:rPr>
          <w:rFonts w:ascii="Arial" w:hAnsi="Arial" w:cs="Arial"/>
          <w:sz w:val="20"/>
          <w:szCs w:val="20"/>
          <w:lang w:val="en-US"/>
        </w:rPr>
        <w:t xml:space="preserve"> (2013) suggested that higher concentration of LOF could delay nutrient uptake by plant, </w:t>
      </w:r>
      <w:r w:rsidRPr="0036680B">
        <w:rPr>
          <w:rFonts w:ascii="Arial" w:hAnsi="Arial" w:cs="Arial"/>
          <w:i/>
          <w:sz w:val="20"/>
          <w:szCs w:val="20"/>
          <w:lang w:val="en-US"/>
        </w:rPr>
        <w:t>i.e</w:t>
      </w:r>
      <w:r w:rsidRPr="00CD528E">
        <w:rPr>
          <w:rFonts w:ascii="Arial" w:hAnsi="Arial" w:cs="Arial"/>
          <w:sz w:val="20"/>
          <w:szCs w:val="20"/>
          <w:lang w:val="en-US"/>
        </w:rPr>
        <w:t>., Chinese mustard (</w:t>
      </w:r>
      <w:r w:rsidRPr="0036680B">
        <w:rPr>
          <w:rFonts w:ascii="Arial" w:hAnsi="Arial" w:cs="Arial"/>
          <w:i/>
          <w:sz w:val="20"/>
          <w:szCs w:val="20"/>
          <w:lang w:val="en-US"/>
        </w:rPr>
        <w:t xml:space="preserve">Brassica </w:t>
      </w:r>
      <w:proofErr w:type="spellStart"/>
      <w:r w:rsidRPr="0036680B">
        <w:rPr>
          <w:rFonts w:ascii="Arial" w:hAnsi="Arial" w:cs="Arial"/>
          <w:i/>
          <w:sz w:val="20"/>
          <w:szCs w:val="20"/>
          <w:lang w:val="en-US"/>
        </w:rPr>
        <w:t>juncea</w:t>
      </w:r>
      <w:proofErr w:type="spellEnd"/>
      <w:r w:rsidRPr="00CD528E">
        <w:rPr>
          <w:rFonts w:ascii="Arial" w:hAnsi="Arial" w:cs="Arial"/>
          <w:sz w:val="20"/>
          <w:szCs w:val="20"/>
          <w:lang w:val="en-US"/>
        </w:rPr>
        <w:t xml:space="preserve"> L.).</w:t>
      </w:r>
    </w:p>
    <w:p w:rsidR="00CD528E" w:rsidRPr="00CD528E" w:rsidRDefault="00CD528E" w:rsidP="0036680B">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Another reason might be related to the absence of surfactant during the application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The use of surfactant was designed to improve liquid foliar fertilizing (Holloway and Stock, 1990) and hence improve crop yields, for example in muskmelon (Lester </w:t>
      </w:r>
      <w:r w:rsidRPr="0036680B">
        <w:rPr>
          <w:rFonts w:ascii="Arial" w:hAnsi="Arial" w:cs="Arial"/>
          <w:i/>
          <w:sz w:val="20"/>
          <w:szCs w:val="20"/>
          <w:lang w:val="en-US"/>
        </w:rPr>
        <w:t>et al</w:t>
      </w:r>
      <w:r w:rsidRPr="00CD528E">
        <w:rPr>
          <w:rFonts w:ascii="Arial" w:hAnsi="Arial" w:cs="Arial"/>
          <w:sz w:val="20"/>
          <w:szCs w:val="20"/>
          <w:lang w:val="en-US"/>
        </w:rPr>
        <w:t xml:space="preserve">., 2006).   The use of leaf surfactant during LOF applications will increase its penetrations into leaf cells through leaf stomata and hydrophilic pores present on the leaf cuticles (Fernandez and </w:t>
      </w:r>
      <w:proofErr w:type="spellStart"/>
      <w:r w:rsidRPr="00CD528E">
        <w:rPr>
          <w:rFonts w:ascii="Arial" w:hAnsi="Arial" w:cs="Arial"/>
          <w:sz w:val="20"/>
          <w:szCs w:val="20"/>
          <w:lang w:val="en-US"/>
        </w:rPr>
        <w:t>Eichert</w:t>
      </w:r>
      <w:proofErr w:type="spellEnd"/>
      <w:r w:rsidRPr="00CD528E">
        <w:rPr>
          <w:rFonts w:ascii="Arial" w:hAnsi="Arial" w:cs="Arial"/>
          <w:sz w:val="20"/>
          <w:szCs w:val="20"/>
          <w:lang w:val="en-US"/>
        </w:rPr>
        <w:t xml:space="preserve">, 2009).   It is therefore very important to find suitable organic surfactants for organically grown sweet corn by using green mass available in surrounding production site. </w:t>
      </w:r>
    </w:p>
    <w:p w:rsidR="00CD528E" w:rsidRPr="00CD528E" w:rsidRDefault="00CD528E" w:rsidP="0036680B">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The solubility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must be another aspect needed to be closely paid attention.  According to McCall (1980) fertilizer used for foliar application must be soluble in water and did not have burning effect to targeted leaves. In addition, less effective of foliar application might also take place when excessive solution is applied and rain falls shortly after application.   Other reason might explain the low effectiveness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LOF on sweet corn yields might be related to the narrow-leaf structure of sweet corn.  </w:t>
      </w:r>
      <w:proofErr w:type="spellStart"/>
      <w:r w:rsidRPr="00CD528E">
        <w:rPr>
          <w:rFonts w:ascii="Arial" w:hAnsi="Arial" w:cs="Arial"/>
          <w:sz w:val="20"/>
          <w:szCs w:val="20"/>
          <w:lang w:val="en-US"/>
        </w:rPr>
        <w:t>Hagin</w:t>
      </w:r>
      <w:proofErr w:type="spellEnd"/>
      <w:r w:rsidRPr="00CD528E">
        <w:rPr>
          <w:rFonts w:ascii="Arial" w:hAnsi="Arial" w:cs="Arial"/>
          <w:sz w:val="20"/>
          <w:szCs w:val="20"/>
          <w:lang w:val="en-US"/>
        </w:rPr>
        <w:t xml:space="preserve"> and Tucker (1982) concluded that foliar fertilization is more effective in broad leaves than narrow leaves.  </w:t>
      </w:r>
      <w:proofErr w:type="spellStart"/>
      <w:r w:rsidRPr="00CD528E">
        <w:rPr>
          <w:rFonts w:ascii="Arial" w:hAnsi="Arial" w:cs="Arial"/>
          <w:sz w:val="20"/>
          <w:szCs w:val="20"/>
          <w:lang w:val="en-US"/>
        </w:rPr>
        <w:t>Dela</w:t>
      </w:r>
      <w:proofErr w:type="spellEnd"/>
      <w:r w:rsidRPr="00CD528E">
        <w:rPr>
          <w:rFonts w:ascii="Arial" w:hAnsi="Arial" w:cs="Arial"/>
          <w:sz w:val="20"/>
          <w:szCs w:val="20"/>
          <w:lang w:val="en-US"/>
        </w:rPr>
        <w:t xml:space="preserve">-Pena </w:t>
      </w:r>
      <w:r w:rsidRPr="0036680B">
        <w:rPr>
          <w:rFonts w:ascii="Arial" w:hAnsi="Arial" w:cs="Arial"/>
          <w:i/>
          <w:sz w:val="20"/>
          <w:szCs w:val="20"/>
          <w:lang w:val="en-US"/>
        </w:rPr>
        <w:t>et al</w:t>
      </w:r>
      <w:r w:rsidRPr="00CD528E">
        <w:rPr>
          <w:rFonts w:ascii="Arial" w:hAnsi="Arial" w:cs="Arial"/>
          <w:sz w:val="20"/>
          <w:szCs w:val="20"/>
          <w:lang w:val="en-US"/>
        </w:rPr>
        <w:t xml:space="preserve">. (2013) specifically concluded that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-based organic fertilizer was effective to increase yield of leafy vegetables, such as </w:t>
      </w:r>
      <w:proofErr w:type="spellStart"/>
      <w:r w:rsidRPr="00CD528E">
        <w:rPr>
          <w:rFonts w:ascii="Arial" w:hAnsi="Arial" w:cs="Arial"/>
          <w:sz w:val="20"/>
          <w:szCs w:val="20"/>
          <w:lang w:val="en-US"/>
        </w:rPr>
        <w:t>pechay</w:t>
      </w:r>
      <w:proofErr w:type="spellEnd"/>
      <w:r w:rsidRPr="00CD528E">
        <w:rPr>
          <w:rFonts w:ascii="Arial" w:hAnsi="Arial" w:cs="Arial"/>
          <w:sz w:val="20"/>
          <w:szCs w:val="20"/>
          <w:lang w:val="en-US"/>
        </w:rPr>
        <w:t xml:space="preserve"> plant (</w:t>
      </w:r>
      <w:r w:rsidRPr="0036680B">
        <w:rPr>
          <w:rFonts w:ascii="Arial" w:hAnsi="Arial" w:cs="Arial"/>
          <w:i/>
          <w:sz w:val="20"/>
          <w:szCs w:val="20"/>
          <w:lang w:val="en-US"/>
        </w:rPr>
        <w:t xml:space="preserve">Brassica </w:t>
      </w:r>
      <w:proofErr w:type="spellStart"/>
      <w:r w:rsidRPr="0036680B">
        <w:rPr>
          <w:rFonts w:ascii="Arial" w:hAnsi="Arial" w:cs="Arial"/>
          <w:i/>
          <w:sz w:val="20"/>
          <w:szCs w:val="20"/>
          <w:lang w:val="en-US"/>
        </w:rPr>
        <w:t>rapa</w:t>
      </w:r>
      <w:proofErr w:type="spellEnd"/>
      <w:r w:rsidRPr="00CD528E">
        <w:rPr>
          <w:rFonts w:ascii="Arial" w:hAnsi="Arial" w:cs="Arial"/>
          <w:sz w:val="20"/>
          <w:szCs w:val="20"/>
          <w:lang w:val="en-US"/>
        </w:rPr>
        <w:t xml:space="preserve"> L.).   Other reports also confirmed that the use of local based LOF successfully increased yields of broad-leaf vegetables such as tomato (</w:t>
      </w:r>
      <w:proofErr w:type="spellStart"/>
      <w:r w:rsidRPr="00CD528E">
        <w:rPr>
          <w:rFonts w:ascii="Arial" w:hAnsi="Arial" w:cs="Arial"/>
          <w:sz w:val="20"/>
          <w:szCs w:val="20"/>
          <w:lang w:val="en-US"/>
        </w:rPr>
        <w:t>Zhai</w:t>
      </w:r>
      <w:proofErr w:type="spellEnd"/>
      <w:r w:rsidRPr="00CD528E">
        <w:rPr>
          <w:rFonts w:ascii="Arial" w:hAnsi="Arial" w:cs="Arial"/>
          <w:sz w:val="20"/>
          <w:szCs w:val="20"/>
          <w:lang w:val="en-US"/>
        </w:rPr>
        <w:t xml:space="preserve"> </w:t>
      </w:r>
      <w:r w:rsidRPr="0036680B">
        <w:rPr>
          <w:rFonts w:ascii="Arial" w:hAnsi="Arial" w:cs="Arial"/>
          <w:i/>
          <w:sz w:val="20"/>
          <w:szCs w:val="20"/>
          <w:lang w:val="en-US"/>
        </w:rPr>
        <w:t>et al</w:t>
      </w:r>
      <w:r w:rsidRPr="00CD528E">
        <w:rPr>
          <w:rFonts w:ascii="Arial" w:hAnsi="Arial" w:cs="Arial"/>
          <w:sz w:val="20"/>
          <w:szCs w:val="20"/>
          <w:lang w:val="en-US"/>
        </w:rPr>
        <w:t xml:space="preserve">., 2009).  </w:t>
      </w:r>
      <w:proofErr w:type="gramStart"/>
      <w:r w:rsidRPr="00CD528E">
        <w:rPr>
          <w:rFonts w:ascii="Arial" w:hAnsi="Arial" w:cs="Arial"/>
          <w:sz w:val="20"/>
          <w:szCs w:val="20"/>
          <w:lang w:val="en-US"/>
        </w:rPr>
        <w:t>So</w:t>
      </w:r>
      <w:proofErr w:type="gramEnd"/>
      <w:r w:rsidRPr="00CD528E">
        <w:rPr>
          <w:rFonts w:ascii="Arial" w:hAnsi="Arial" w:cs="Arial"/>
          <w:sz w:val="20"/>
          <w:szCs w:val="20"/>
          <w:lang w:val="en-US"/>
        </w:rPr>
        <w:t xml:space="preserve"> did the effects of foliar application of micro nutrient did not increased the yields of broccoli (</w:t>
      </w:r>
      <w:proofErr w:type="spellStart"/>
      <w:r w:rsidRPr="00CD528E">
        <w:rPr>
          <w:rFonts w:ascii="Arial" w:hAnsi="Arial" w:cs="Arial"/>
          <w:sz w:val="20"/>
          <w:szCs w:val="20"/>
          <w:lang w:val="en-US"/>
        </w:rPr>
        <w:t>Yildrim</w:t>
      </w:r>
      <w:proofErr w:type="spellEnd"/>
      <w:r w:rsidRPr="00CD528E">
        <w:rPr>
          <w:rFonts w:ascii="Arial" w:hAnsi="Arial" w:cs="Arial"/>
          <w:sz w:val="20"/>
          <w:szCs w:val="20"/>
          <w:lang w:val="en-US"/>
        </w:rPr>
        <w:t xml:space="preserve"> </w:t>
      </w:r>
      <w:r w:rsidRPr="0036680B">
        <w:rPr>
          <w:rFonts w:ascii="Arial" w:hAnsi="Arial" w:cs="Arial"/>
          <w:i/>
          <w:sz w:val="20"/>
          <w:szCs w:val="20"/>
          <w:lang w:val="en-US"/>
        </w:rPr>
        <w:t>et al</w:t>
      </w:r>
      <w:r w:rsidRPr="00CD528E">
        <w:rPr>
          <w:rFonts w:ascii="Arial" w:hAnsi="Arial" w:cs="Arial"/>
          <w:sz w:val="20"/>
          <w:szCs w:val="20"/>
          <w:lang w:val="en-US"/>
        </w:rPr>
        <w:t>., 2014) and potato (</w:t>
      </w:r>
      <w:proofErr w:type="spellStart"/>
      <w:r w:rsidRPr="00CD528E">
        <w:rPr>
          <w:rFonts w:ascii="Arial" w:hAnsi="Arial" w:cs="Arial"/>
          <w:sz w:val="20"/>
          <w:szCs w:val="20"/>
          <w:lang w:val="en-US"/>
        </w:rPr>
        <w:t>Qadri</w:t>
      </w:r>
      <w:proofErr w:type="spellEnd"/>
      <w:r w:rsidRPr="00CD528E">
        <w:rPr>
          <w:rFonts w:ascii="Arial" w:hAnsi="Arial" w:cs="Arial"/>
          <w:sz w:val="20"/>
          <w:szCs w:val="20"/>
          <w:lang w:val="en-US"/>
        </w:rPr>
        <w:t xml:space="preserve"> </w:t>
      </w:r>
      <w:r w:rsidRPr="0036680B">
        <w:rPr>
          <w:rFonts w:ascii="Arial" w:hAnsi="Arial" w:cs="Arial"/>
          <w:i/>
          <w:sz w:val="20"/>
          <w:szCs w:val="20"/>
          <w:lang w:val="en-US"/>
        </w:rPr>
        <w:t>et al</w:t>
      </w:r>
      <w:r w:rsidRPr="00CD528E">
        <w:rPr>
          <w:rFonts w:ascii="Arial" w:hAnsi="Arial" w:cs="Arial"/>
          <w:sz w:val="20"/>
          <w:szCs w:val="20"/>
          <w:lang w:val="en-US"/>
        </w:rPr>
        <w:t xml:space="preserve">., 2015). </w:t>
      </w:r>
    </w:p>
    <w:p w:rsidR="00CD528E" w:rsidRPr="00CD528E" w:rsidRDefault="00CD528E" w:rsidP="00CD528E">
      <w:pPr>
        <w:pStyle w:val="ListParagraph"/>
        <w:spacing w:after="0" w:line="360" w:lineRule="auto"/>
        <w:jc w:val="both"/>
        <w:rPr>
          <w:rFonts w:ascii="Arial" w:hAnsi="Arial" w:cs="Arial"/>
          <w:sz w:val="20"/>
          <w:szCs w:val="20"/>
          <w:lang w:val="en-US"/>
        </w:rPr>
      </w:pPr>
    </w:p>
    <w:p w:rsidR="00CD528E" w:rsidRPr="00CD528E" w:rsidRDefault="00CD528E" w:rsidP="00CD528E">
      <w:pPr>
        <w:pStyle w:val="ListParagraph"/>
        <w:spacing w:after="0" w:line="360" w:lineRule="auto"/>
        <w:jc w:val="both"/>
        <w:rPr>
          <w:rFonts w:ascii="Arial" w:hAnsi="Arial" w:cs="Arial"/>
          <w:sz w:val="20"/>
          <w:szCs w:val="20"/>
          <w:lang w:val="en-US"/>
        </w:rPr>
      </w:pPr>
    </w:p>
    <w:p w:rsidR="00CD528E" w:rsidRPr="0036680B" w:rsidRDefault="00CD528E" w:rsidP="0036680B">
      <w:pPr>
        <w:pStyle w:val="ListParagraph"/>
        <w:spacing w:after="0" w:line="360" w:lineRule="auto"/>
        <w:jc w:val="center"/>
        <w:rPr>
          <w:rFonts w:ascii="Arial" w:hAnsi="Arial" w:cs="Arial"/>
          <w:b/>
          <w:sz w:val="20"/>
          <w:szCs w:val="20"/>
          <w:lang w:val="en-US"/>
        </w:rPr>
      </w:pPr>
      <w:r w:rsidRPr="0036680B">
        <w:rPr>
          <w:rFonts w:ascii="Arial" w:hAnsi="Arial" w:cs="Arial"/>
          <w:b/>
          <w:sz w:val="20"/>
          <w:szCs w:val="20"/>
          <w:lang w:val="en-US"/>
        </w:rPr>
        <w:lastRenderedPageBreak/>
        <w:t xml:space="preserve">CONCLUSIONS </w:t>
      </w:r>
      <w:r w:rsidR="0036680B">
        <w:rPr>
          <w:rFonts w:ascii="Arial" w:hAnsi="Arial" w:cs="Arial"/>
          <w:b/>
          <w:sz w:val="20"/>
          <w:szCs w:val="20"/>
          <w:lang w:val="en-US"/>
        </w:rPr>
        <w:t>AND</w:t>
      </w:r>
      <w:r w:rsidRPr="0036680B">
        <w:rPr>
          <w:rFonts w:ascii="Arial" w:hAnsi="Arial" w:cs="Arial"/>
          <w:b/>
          <w:sz w:val="20"/>
          <w:szCs w:val="20"/>
          <w:lang w:val="en-US"/>
        </w:rPr>
        <w:t xml:space="preserve"> SUGGESTION</w:t>
      </w:r>
    </w:p>
    <w:p w:rsidR="00CD528E" w:rsidRPr="00CD528E" w:rsidRDefault="00CD528E" w:rsidP="0036680B">
      <w:pPr>
        <w:pStyle w:val="ListParagraph"/>
        <w:spacing w:after="0" w:line="360" w:lineRule="auto"/>
        <w:ind w:firstLine="720"/>
        <w:jc w:val="both"/>
        <w:rPr>
          <w:rFonts w:ascii="Arial" w:hAnsi="Arial" w:cs="Arial"/>
          <w:sz w:val="20"/>
          <w:szCs w:val="20"/>
          <w:lang w:val="en-US"/>
        </w:rPr>
      </w:pPr>
      <w:r w:rsidRPr="00CD528E">
        <w:rPr>
          <w:rFonts w:ascii="Arial" w:hAnsi="Arial" w:cs="Arial"/>
          <w:sz w:val="20"/>
          <w:szCs w:val="20"/>
          <w:lang w:val="en-US"/>
        </w:rPr>
        <w:t xml:space="preserve">In a closed agriculture production system, soil application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 xml:space="preserve">-enriched liquid organic fertilizer is as effective as foliar application in promoting sweet corn yields. It is also concluded that concentrations of </w:t>
      </w:r>
      <w:proofErr w:type="spellStart"/>
      <w:r w:rsidRPr="00CD528E">
        <w:rPr>
          <w:rFonts w:ascii="Arial" w:hAnsi="Arial" w:cs="Arial"/>
          <w:sz w:val="20"/>
          <w:szCs w:val="20"/>
          <w:lang w:val="en-US"/>
        </w:rPr>
        <w:t>tithonia</w:t>
      </w:r>
      <w:proofErr w:type="spellEnd"/>
      <w:r w:rsidRPr="00CD528E">
        <w:rPr>
          <w:rFonts w:ascii="Arial" w:hAnsi="Arial" w:cs="Arial"/>
          <w:sz w:val="20"/>
          <w:szCs w:val="20"/>
          <w:lang w:val="en-US"/>
        </w:rPr>
        <w:t>-enriched liquid organic fertilizer did not influence sweet corn yields. Further studies need to be established to distinguish the residual effects of solid organic fertilizers and additional liquid organic fertilizer on sweet corn yields in closed agriculture production system</w:t>
      </w:r>
      <w:bookmarkStart w:id="0" w:name="_GoBack"/>
      <w:bookmarkEnd w:id="0"/>
      <w:r w:rsidRPr="00CD528E">
        <w:rPr>
          <w:rFonts w:ascii="Arial" w:hAnsi="Arial" w:cs="Arial"/>
          <w:sz w:val="20"/>
          <w:szCs w:val="20"/>
          <w:lang w:val="en-US"/>
        </w:rPr>
        <w:t>.</w:t>
      </w:r>
    </w:p>
    <w:p w:rsidR="00CD528E" w:rsidRDefault="00CD528E" w:rsidP="00CD528E">
      <w:pPr>
        <w:pStyle w:val="ListParagraph"/>
        <w:spacing w:line="240" w:lineRule="auto"/>
        <w:ind w:left="0"/>
        <w:jc w:val="center"/>
        <w:rPr>
          <w:rFonts w:ascii="Arial" w:hAnsi="Arial" w:cs="Arial"/>
          <w:b/>
          <w:sz w:val="20"/>
          <w:szCs w:val="20"/>
          <w:lang w:val="en-US"/>
        </w:rPr>
      </w:pPr>
    </w:p>
    <w:p w:rsidR="00CD528E" w:rsidRDefault="00CD528E" w:rsidP="00CD528E">
      <w:pPr>
        <w:pStyle w:val="ListParagraph"/>
        <w:spacing w:line="240" w:lineRule="auto"/>
        <w:ind w:left="0"/>
        <w:jc w:val="center"/>
        <w:rPr>
          <w:rFonts w:ascii="Arial" w:hAnsi="Arial" w:cs="Arial"/>
          <w:b/>
          <w:sz w:val="20"/>
          <w:szCs w:val="20"/>
          <w:lang w:val="en-US"/>
        </w:rPr>
      </w:pPr>
      <w:r>
        <w:rPr>
          <w:rFonts w:ascii="Arial" w:hAnsi="Arial" w:cs="Arial"/>
          <w:b/>
          <w:sz w:val="20"/>
          <w:szCs w:val="20"/>
          <w:lang w:val="en-US"/>
        </w:rPr>
        <w:t xml:space="preserve">REFERENCES </w:t>
      </w:r>
    </w:p>
    <w:p w:rsidR="00CD528E" w:rsidRDefault="00CD528E" w:rsidP="00CD528E">
      <w:pPr>
        <w:pStyle w:val="ListParagraph"/>
        <w:spacing w:line="240" w:lineRule="auto"/>
        <w:ind w:left="0"/>
        <w:jc w:val="center"/>
        <w:rPr>
          <w:rFonts w:ascii="Arial" w:hAnsi="Arial" w:cs="Arial"/>
          <w:b/>
          <w:sz w:val="20"/>
          <w:szCs w:val="20"/>
          <w:lang w:val="en-US"/>
        </w:rPr>
      </w:pPr>
    </w:p>
    <w:p w:rsidR="00CD528E" w:rsidRDefault="00CD528E" w:rsidP="00CD528E">
      <w:pPr>
        <w:spacing w:after="0" w:line="360" w:lineRule="auto"/>
        <w:ind w:left="567" w:hanging="567"/>
        <w:contextualSpacing/>
        <w:jc w:val="both"/>
        <w:rPr>
          <w:rFonts w:ascii="Arial" w:hAnsi="Arial" w:cs="Arial"/>
          <w:sz w:val="20"/>
          <w:szCs w:val="20"/>
        </w:rPr>
      </w:pPr>
      <w:r>
        <w:rPr>
          <w:rFonts w:ascii="Arial" w:hAnsi="Arial" w:cs="Arial"/>
          <w:iCs/>
          <w:color w:val="000000"/>
          <w:sz w:val="20"/>
          <w:szCs w:val="20"/>
        </w:rPr>
        <w:t>Abbas, M.K. &amp; Ali, A.S. (2011).  Effect of foliar application of NPK on some growth characters of two cultivar of rosella (</w:t>
      </w:r>
      <w:r>
        <w:rPr>
          <w:rFonts w:ascii="Arial" w:hAnsi="Arial" w:cs="Arial"/>
          <w:i/>
          <w:iCs/>
          <w:color w:val="000000"/>
          <w:sz w:val="20"/>
          <w:szCs w:val="20"/>
        </w:rPr>
        <w:t xml:space="preserve">Hibiscus </w:t>
      </w:r>
      <w:proofErr w:type="spellStart"/>
      <w:r>
        <w:rPr>
          <w:rFonts w:ascii="Arial" w:hAnsi="Arial" w:cs="Arial"/>
          <w:i/>
          <w:iCs/>
          <w:color w:val="000000"/>
          <w:sz w:val="20"/>
          <w:szCs w:val="20"/>
        </w:rPr>
        <w:t>sabdarifa</w:t>
      </w:r>
      <w:proofErr w:type="spellEnd"/>
      <w:r>
        <w:rPr>
          <w:rFonts w:ascii="Arial" w:hAnsi="Arial" w:cs="Arial"/>
          <w:iCs/>
          <w:color w:val="000000"/>
          <w:sz w:val="20"/>
          <w:szCs w:val="20"/>
        </w:rPr>
        <w:t xml:space="preserve"> L.). </w:t>
      </w:r>
      <w:r>
        <w:rPr>
          <w:rFonts w:ascii="Arial" w:hAnsi="Arial" w:cs="Arial"/>
          <w:i/>
          <w:iCs/>
          <w:color w:val="000000"/>
          <w:sz w:val="20"/>
          <w:szCs w:val="20"/>
        </w:rPr>
        <w:t>Am. J. of Plant Physiol. 6:220</w:t>
      </w:r>
      <w:r>
        <w:rPr>
          <w:rFonts w:ascii="Arial" w:hAnsi="Arial" w:cs="Arial"/>
          <w:color w:val="000000"/>
          <w:sz w:val="20"/>
          <w:szCs w:val="20"/>
        </w:rPr>
        <w:t>–</w:t>
      </w:r>
      <w:r>
        <w:rPr>
          <w:rFonts w:ascii="Arial" w:hAnsi="Arial" w:cs="Arial"/>
          <w:i/>
          <w:iCs/>
          <w:color w:val="000000"/>
          <w:sz w:val="20"/>
          <w:szCs w:val="20"/>
        </w:rPr>
        <w:t>227.</w:t>
      </w:r>
      <w:r>
        <w:rPr>
          <w:rFonts w:ascii="Arial" w:hAnsi="Arial" w:cs="Arial"/>
          <w:color w:val="000000"/>
          <w:sz w:val="20"/>
          <w:szCs w:val="20"/>
        </w:rPr>
        <w:t xml:space="preserve"> </w:t>
      </w:r>
    </w:p>
    <w:p w:rsidR="00CD528E" w:rsidRDefault="00CD528E" w:rsidP="00CD528E">
      <w:pPr>
        <w:spacing w:after="0" w:line="360" w:lineRule="auto"/>
        <w:ind w:left="567" w:hanging="567"/>
        <w:contextualSpacing/>
        <w:jc w:val="both"/>
        <w:rPr>
          <w:rFonts w:ascii="Arial" w:hAnsi="Arial" w:cs="Arial"/>
          <w:iCs/>
          <w:color w:val="000000"/>
          <w:sz w:val="20"/>
          <w:szCs w:val="20"/>
        </w:rPr>
      </w:pPr>
      <w:proofErr w:type="spellStart"/>
      <w:r>
        <w:rPr>
          <w:rFonts w:ascii="Arial" w:hAnsi="Arial" w:cs="Arial"/>
          <w:bCs/>
          <w:iCs/>
          <w:color w:val="000000"/>
          <w:sz w:val="20"/>
          <w:szCs w:val="20"/>
        </w:rPr>
        <w:t>Amanullah</w:t>
      </w:r>
      <w:proofErr w:type="spellEnd"/>
      <w:r>
        <w:rPr>
          <w:rFonts w:ascii="Arial" w:hAnsi="Arial" w:cs="Arial"/>
          <w:bCs/>
          <w:iCs/>
          <w:color w:val="000000"/>
          <w:sz w:val="20"/>
          <w:szCs w:val="20"/>
        </w:rPr>
        <w:t xml:space="preserve">, K.M., </w:t>
      </w:r>
      <w:proofErr w:type="spellStart"/>
      <w:r>
        <w:rPr>
          <w:rFonts w:ascii="Arial" w:hAnsi="Arial" w:cs="Arial"/>
          <w:bCs/>
          <w:iCs/>
          <w:color w:val="000000"/>
          <w:sz w:val="20"/>
          <w:szCs w:val="20"/>
        </w:rPr>
        <w:t>Kakar</w:t>
      </w:r>
      <w:proofErr w:type="spellEnd"/>
      <w:r>
        <w:rPr>
          <w:rFonts w:ascii="Arial" w:hAnsi="Arial" w:cs="Arial"/>
          <w:bCs/>
          <w:iCs/>
          <w:color w:val="000000"/>
          <w:sz w:val="20"/>
          <w:szCs w:val="20"/>
        </w:rPr>
        <w:t>, Khan, A., Khan, I., Shah, Z. &amp; Hussain, Z. (2014).</w:t>
      </w:r>
      <w:r>
        <w:rPr>
          <w:rFonts w:ascii="Arial" w:hAnsi="Arial" w:cs="Arial"/>
          <w:bCs/>
          <w:color w:val="000000"/>
          <w:sz w:val="20"/>
          <w:szCs w:val="20"/>
        </w:rPr>
        <w:t xml:space="preserve"> Growth and yield response of maize (</w:t>
      </w:r>
      <w:proofErr w:type="spellStart"/>
      <w:r>
        <w:rPr>
          <w:rFonts w:ascii="Arial" w:hAnsi="Arial" w:cs="Arial"/>
          <w:bCs/>
          <w:i/>
          <w:iCs/>
          <w:color w:val="000000"/>
          <w:sz w:val="20"/>
          <w:szCs w:val="20"/>
        </w:rPr>
        <w:t>Zea</w:t>
      </w:r>
      <w:proofErr w:type="spellEnd"/>
      <w:r>
        <w:rPr>
          <w:rFonts w:ascii="Arial" w:hAnsi="Arial" w:cs="Arial"/>
          <w:bCs/>
          <w:i/>
          <w:iCs/>
          <w:color w:val="000000"/>
          <w:sz w:val="20"/>
          <w:szCs w:val="20"/>
        </w:rPr>
        <w:t xml:space="preserve"> mays</w:t>
      </w:r>
      <w:r>
        <w:rPr>
          <w:rFonts w:ascii="Arial" w:hAnsi="Arial" w:cs="Arial"/>
          <w:bCs/>
          <w:color w:val="000000"/>
          <w:sz w:val="20"/>
          <w:szCs w:val="20"/>
        </w:rPr>
        <w:t xml:space="preserve"> L.) to foliar NPK-fertilizers under moisture stress condition. </w:t>
      </w:r>
      <w:r>
        <w:rPr>
          <w:rFonts w:ascii="Arial" w:hAnsi="Arial" w:cs="Arial"/>
          <w:i/>
          <w:iCs/>
          <w:color w:val="000000"/>
          <w:sz w:val="20"/>
          <w:szCs w:val="20"/>
        </w:rPr>
        <w:t>Soil Environ. 33(2): 116</w:t>
      </w:r>
      <w:r>
        <w:rPr>
          <w:rFonts w:ascii="Arial" w:hAnsi="Arial" w:cs="Arial"/>
          <w:color w:val="000000"/>
          <w:sz w:val="20"/>
          <w:szCs w:val="20"/>
        </w:rPr>
        <w:t>–</w:t>
      </w:r>
      <w:r>
        <w:rPr>
          <w:rFonts w:ascii="Arial" w:hAnsi="Arial" w:cs="Arial"/>
          <w:i/>
          <w:iCs/>
          <w:color w:val="000000"/>
          <w:sz w:val="20"/>
          <w:szCs w:val="20"/>
        </w:rPr>
        <w:t xml:space="preserve">123. </w:t>
      </w:r>
    </w:p>
    <w:p w:rsidR="00CD528E" w:rsidRDefault="00CD528E" w:rsidP="00CD528E">
      <w:pPr>
        <w:spacing w:after="0" w:line="360" w:lineRule="auto"/>
        <w:ind w:left="562" w:hanging="562"/>
        <w:contextualSpacing/>
        <w:jc w:val="both"/>
        <w:rPr>
          <w:rFonts w:ascii="Arial" w:hAnsi="Arial" w:cs="Arial"/>
          <w:i/>
          <w:sz w:val="20"/>
          <w:szCs w:val="20"/>
        </w:rPr>
      </w:pPr>
      <w:proofErr w:type="spellStart"/>
      <w:r>
        <w:rPr>
          <w:rFonts w:ascii="Arial" w:eastAsia="Times New Roman" w:hAnsi="Arial" w:cs="Arial"/>
          <w:bCs/>
          <w:sz w:val="20"/>
          <w:szCs w:val="20"/>
          <w:lang w:eastAsia="id-ID"/>
        </w:rPr>
        <w:t>Ashour</w:t>
      </w:r>
      <w:proofErr w:type="spellEnd"/>
      <w:r>
        <w:rPr>
          <w:rFonts w:ascii="Arial" w:eastAsia="Times New Roman" w:hAnsi="Arial" w:cs="Arial"/>
          <w:bCs/>
          <w:sz w:val="20"/>
          <w:szCs w:val="20"/>
          <w:lang w:eastAsia="id-ID"/>
        </w:rPr>
        <w:t xml:space="preserve">, N. &amp; </w:t>
      </w:r>
      <w:proofErr w:type="spellStart"/>
      <w:r>
        <w:rPr>
          <w:rFonts w:ascii="Arial" w:eastAsia="Times New Roman" w:hAnsi="Arial" w:cs="Arial"/>
          <w:bCs/>
          <w:sz w:val="20"/>
          <w:szCs w:val="20"/>
          <w:lang w:eastAsia="id-ID"/>
        </w:rPr>
        <w:t>Thalooth</w:t>
      </w:r>
      <w:proofErr w:type="spellEnd"/>
      <w:r>
        <w:rPr>
          <w:rFonts w:ascii="Arial" w:eastAsia="Times New Roman" w:hAnsi="Arial" w:cs="Arial"/>
          <w:bCs/>
          <w:sz w:val="20"/>
          <w:szCs w:val="20"/>
          <w:lang w:eastAsia="id-ID"/>
        </w:rPr>
        <w:t xml:space="preserve">, A.T. (1982). </w:t>
      </w:r>
      <w:r>
        <w:rPr>
          <w:rFonts w:ascii="Arial" w:hAnsi="Arial" w:cs="Arial"/>
          <w:sz w:val="20"/>
          <w:szCs w:val="20"/>
        </w:rPr>
        <w:t>Effect of soil and foliar application of nitrogen during pod development on the yield of soybean (</w:t>
      </w:r>
      <w:r>
        <w:rPr>
          <w:rStyle w:val="Emphasis"/>
          <w:rFonts w:ascii="Arial" w:hAnsi="Arial" w:cs="Arial"/>
          <w:sz w:val="20"/>
        </w:rPr>
        <w:t>Glycine max</w:t>
      </w:r>
      <w:r>
        <w:rPr>
          <w:rFonts w:ascii="Arial" w:hAnsi="Arial" w:cs="Arial"/>
          <w:sz w:val="20"/>
          <w:szCs w:val="20"/>
        </w:rPr>
        <w:t xml:space="preserve"> (L.) </w:t>
      </w:r>
      <w:proofErr w:type="spellStart"/>
      <w:r>
        <w:rPr>
          <w:rFonts w:ascii="Arial" w:hAnsi="Arial" w:cs="Arial"/>
          <w:sz w:val="20"/>
          <w:szCs w:val="20"/>
        </w:rPr>
        <w:t>Merr</w:t>
      </w:r>
      <w:proofErr w:type="spellEnd"/>
      <w:r>
        <w:rPr>
          <w:rFonts w:ascii="Arial" w:hAnsi="Arial" w:cs="Arial"/>
          <w:sz w:val="20"/>
          <w:szCs w:val="20"/>
        </w:rPr>
        <w:t xml:space="preserve">.) plants. </w:t>
      </w:r>
      <w:r>
        <w:rPr>
          <w:rFonts w:ascii="Arial" w:hAnsi="Arial" w:cs="Arial"/>
          <w:i/>
          <w:sz w:val="20"/>
          <w:szCs w:val="20"/>
        </w:rPr>
        <w:t>Field Crops Res. 6:261</w:t>
      </w:r>
      <w:r>
        <w:rPr>
          <w:rFonts w:ascii="Arial" w:hAnsi="Arial" w:cs="Arial"/>
          <w:color w:val="000000"/>
          <w:sz w:val="20"/>
          <w:szCs w:val="20"/>
        </w:rPr>
        <w:t>–</w:t>
      </w:r>
      <w:r>
        <w:rPr>
          <w:rFonts w:ascii="Arial" w:hAnsi="Arial" w:cs="Arial"/>
          <w:i/>
          <w:sz w:val="20"/>
          <w:szCs w:val="20"/>
        </w:rPr>
        <w:t xml:space="preserve">266. </w:t>
      </w:r>
    </w:p>
    <w:p w:rsidR="00CD528E" w:rsidRDefault="00CD528E" w:rsidP="00CD528E">
      <w:pPr>
        <w:spacing w:after="0" w:line="360" w:lineRule="auto"/>
        <w:ind w:left="562" w:hanging="562"/>
        <w:contextualSpacing/>
        <w:jc w:val="both"/>
        <w:rPr>
          <w:rFonts w:ascii="Arial" w:hAnsi="Arial" w:cs="Arial"/>
          <w:bCs/>
          <w:color w:val="000000"/>
          <w:sz w:val="20"/>
          <w:szCs w:val="20"/>
        </w:rPr>
      </w:pPr>
      <w:proofErr w:type="spellStart"/>
      <w:r>
        <w:rPr>
          <w:rFonts w:ascii="Arial" w:eastAsia="Times New Roman" w:hAnsi="Arial" w:cs="Arial"/>
          <w:sz w:val="20"/>
          <w:szCs w:val="20"/>
          <w:lang w:eastAsia="id-ID"/>
        </w:rPr>
        <w:t>Bratasevec</w:t>
      </w:r>
      <w:proofErr w:type="spellEnd"/>
      <w:r>
        <w:rPr>
          <w:rFonts w:ascii="Arial" w:eastAsia="Times New Roman" w:hAnsi="Arial" w:cs="Arial"/>
          <w:sz w:val="20"/>
          <w:szCs w:val="20"/>
          <w:lang w:eastAsia="id-ID"/>
        </w:rPr>
        <w:t xml:space="preserve">, K., </w:t>
      </w:r>
      <w:proofErr w:type="spellStart"/>
      <w:r>
        <w:rPr>
          <w:rFonts w:ascii="Arial" w:eastAsia="Times New Roman" w:hAnsi="Arial" w:cs="Arial"/>
          <w:sz w:val="20"/>
          <w:szCs w:val="20"/>
          <w:lang w:eastAsia="id-ID"/>
        </w:rPr>
        <w:t>Sivilotti</w:t>
      </w:r>
      <w:proofErr w:type="spellEnd"/>
      <w:r>
        <w:rPr>
          <w:rFonts w:ascii="Arial" w:eastAsia="Times New Roman" w:hAnsi="Arial" w:cs="Arial"/>
          <w:sz w:val="20"/>
          <w:szCs w:val="20"/>
          <w:lang w:eastAsia="id-ID"/>
        </w:rPr>
        <w:t xml:space="preserve">, P. &amp; </w:t>
      </w:r>
      <w:proofErr w:type="spellStart"/>
      <w:r>
        <w:rPr>
          <w:rFonts w:ascii="Arial" w:eastAsia="Times New Roman" w:hAnsi="Arial" w:cs="Arial"/>
          <w:sz w:val="20"/>
          <w:szCs w:val="20"/>
          <w:lang w:eastAsia="id-ID"/>
        </w:rPr>
        <w:t>Vodopivec</w:t>
      </w:r>
      <w:proofErr w:type="spellEnd"/>
      <w:r>
        <w:rPr>
          <w:rFonts w:ascii="Arial" w:eastAsia="Times New Roman" w:hAnsi="Arial" w:cs="Arial"/>
          <w:sz w:val="20"/>
          <w:szCs w:val="20"/>
          <w:lang w:eastAsia="id-ID"/>
        </w:rPr>
        <w:t xml:space="preserve">, B.M. (2013). Soil and foliar fertilization affects mineral contents in </w:t>
      </w:r>
      <w:proofErr w:type="spellStart"/>
      <w:r>
        <w:rPr>
          <w:rFonts w:ascii="Arial" w:eastAsia="Times New Roman" w:hAnsi="Arial" w:cs="Arial"/>
          <w:i/>
          <w:sz w:val="20"/>
          <w:szCs w:val="20"/>
          <w:lang w:eastAsia="id-ID"/>
        </w:rPr>
        <w:t>Vitis</w:t>
      </w:r>
      <w:proofErr w:type="spellEnd"/>
      <w:r>
        <w:rPr>
          <w:rFonts w:ascii="Arial" w:eastAsia="Times New Roman" w:hAnsi="Arial" w:cs="Arial"/>
          <w:i/>
          <w:sz w:val="20"/>
          <w:szCs w:val="20"/>
          <w:lang w:eastAsia="id-ID"/>
        </w:rPr>
        <w:t xml:space="preserve"> vinifera</w:t>
      </w:r>
      <w:r>
        <w:rPr>
          <w:rFonts w:ascii="Arial" w:eastAsia="Times New Roman" w:hAnsi="Arial" w:cs="Arial"/>
          <w:sz w:val="20"/>
          <w:szCs w:val="20"/>
          <w:lang w:eastAsia="id-ID"/>
        </w:rPr>
        <w:t xml:space="preserve"> L. cv. ‘</w:t>
      </w:r>
      <w:proofErr w:type="spellStart"/>
      <w:r>
        <w:rPr>
          <w:rFonts w:ascii="Arial" w:eastAsia="Times New Roman" w:hAnsi="Arial" w:cs="Arial"/>
          <w:sz w:val="20"/>
          <w:szCs w:val="20"/>
          <w:lang w:eastAsia="id-ID"/>
        </w:rPr>
        <w:t>rebula</w:t>
      </w:r>
      <w:proofErr w:type="spellEnd"/>
      <w:r>
        <w:rPr>
          <w:rFonts w:ascii="Arial" w:eastAsia="Times New Roman" w:hAnsi="Arial" w:cs="Arial"/>
          <w:sz w:val="20"/>
          <w:szCs w:val="20"/>
          <w:lang w:eastAsia="id-ID"/>
        </w:rPr>
        <w:t xml:space="preserve">’ leaves.  </w:t>
      </w:r>
      <w:r>
        <w:rPr>
          <w:rFonts w:ascii="Arial" w:eastAsia="Times New Roman" w:hAnsi="Arial" w:cs="Arial"/>
          <w:i/>
          <w:sz w:val="20"/>
          <w:szCs w:val="20"/>
          <w:lang w:eastAsia="id-ID"/>
        </w:rPr>
        <w:t xml:space="preserve">J Soil Sci Plant </w:t>
      </w:r>
      <w:proofErr w:type="spellStart"/>
      <w:r>
        <w:rPr>
          <w:rFonts w:ascii="Arial" w:eastAsia="Times New Roman" w:hAnsi="Arial" w:cs="Arial"/>
          <w:i/>
          <w:sz w:val="20"/>
          <w:szCs w:val="20"/>
          <w:lang w:eastAsia="id-ID"/>
        </w:rPr>
        <w:t>Nutr</w:t>
      </w:r>
      <w:proofErr w:type="spellEnd"/>
      <w:r>
        <w:rPr>
          <w:rFonts w:ascii="Arial" w:eastAsia="Times New Roman" w:hAnsi="Arial" w:cs="Arial"/>
          <w:i/>
          <w:sz w:val="20"/>
          <w:szCs w:val="20"/>
          <w:lang w:eastAsia="id-ID"/>
        </w:rPr>
        <w:t>. 13:650</w:t>
      </w:r>
      <w:r>
        <w:rPr>
          <w:rFonts w:ascii="Arial" w:hAnsi="Arial" w:cs="Arial"/>
          <w:color w:val="000000"/>
          <w:sz w:val="20"/>
          <w:szCs w:val="20"/>
        </w:rPr>
        <w:t>–</w:t>
      </w:r>
      <w:r>
        <w:rPr>
          <w:rFonts w:ascii="Arial" w:eastAsia="Times New Roman" w:hAnsi="Arial" w:cs="Arial"/>
          <w:i/>
          <w:sz w:val="20"/>
          <w:szCs w:val="20"/>
          <w:lang w:eastAsia="id-ID"/>
        </w:rPr>
        <w:t>663.</w:t>
      </w:r>
      <w:r>
        <w:rPr>
          <w:rFonts w:ascii="Arial" w:hAnsi="Arial" w:cs="Arial"/>
          <w:bCs/>
          <w:color w:val="000000"/>
          <w:sz w:val="20"/>
          <w:szCs w:val="20"/>
        </w:rPr>
        <w:t xml:space="preserve"> </w:t>
      </w:r>
    </w:p>
    <w:p w:rsidR="00CD528E" w:rsidRDefault="00CD528E" w:rsidP="00CD528E">
      <w:pPr>
        <w:spacing w:after="0" w:line="360" w:lineRule="auto"/>
        <w:ind w:left="562" w:hanging="562"/>
        <w:contextualSpacing/>
        <w:jc w:val="both"/>
        <w:rPr>
          <w:rFonts w:ascii="Arial" w:hAnsi="Arial" w:cs="Arial"/>
          <w:sz w:val="20"/>
          <w:szCs w:val="20"/>
        </w:rPr>
      </w:pPr>
      <w:proofErr w:type="spellStart"/>
      <w:r>
        <w:rPr>
          <w:rFonts w:ascii="Arial" w:hAnsi="Arial" w:cs="Arial"/>
          <w:sz w:val="20"/>
          <w:szCs w:val="20"/>
        </w:rPr>
        <w:t>Brust</w:t>
      </w:r>
      <w:proofErr w:type="spellEnd"/>
      <w:r>
        <w:rPr>
          <w:rFonts w:ascii="Arial" w:hAnsi="Arial" w:cs="Arial"/>
          <w:sz w:val="20"/>
          <w:szCs w:val="20"/>
        </w:rPr>
        <w:t xml:space="preserve">, G., </w:t>
      </w:r>
      <w:proofErr w:type="spellStart"/>
      <w:r>
        <w:rPr>
          <w:rFonts w:ascii="Arial" w:hAnsi="Arial" w:cs="Arial"/>
          <w:sz w:val="20"/>
          <w:szCs w:val="20"/>
        </w:rPr>
        <w:t>Egel</w:t>
      </w:r>
      <w:proofErr w:type="spellEnd"/>
      <w:r>
        <w:rPr>
          <w:rFonts w:ascii="Arial" w:hAnsi="Arial" w:cs="Arial"/>
          <w:sz w:val="20"/>
          <w:szCs w:val="20"/>
        </w:rPr>
        <w:t xml:space="preserve">, D.S. &amp; Maynard, E.T. (2003). Organic Vegetable Production. Purdue University Cooperative Extension Service. Bulletin # 316. </w:t>
      </w:r>
    </w:p>
    <w:p w:rsidR="00CD528E" w:rsidRDefault="00CD528E" w:rsidP="00CD528E">
      <w:pPr>
        <w:spacing w:after="0" w:line="360" w:lineRule="auto"/>
        <w:ind w:left="562" w:hanging="562"/>
        <w:contextualSpacing/>
        <w:jc w:val="both"/>
        <w:rPr>
          <w:rFonts w:ascii="Arial" w:hAnsi="Arial" w:cs="Arial"/>
          <w:bCs/>
          <w:sz w:val="20"/>
          <w:szCs w:val="20"/>
        </w:rPr>
      </w:pPr>
      <w:proofErr w:type="spellStart"/>
      <w:r>
        <w:rPr>
          <w:rFonts w:ascii="Arial" w:hAnsi="Arial" w:cs="Arial"/>
          <w:bCs/>
          <w:sz w:val="20"/>
          <w:szCs w:val="20"/>
        </w:rPr>
        <w:t>Dela</w:t>
      </w:r>
      <w:proofErr w:type="spellEnd"/>
      <w:r>
        <w:rPr>
          <w:rFonts w:ascii="Arial" w:hAnsi="Arial" w:cs="Arial"/>
          <w:bCs/>
          <w:sz w:val="20"/>
          <w:szCs w:val="20"/>
        </w:rPr>
        <w:t xml:space="preserve">-Pena, C., Bartolome, D.L.I.  &amp; </w:t>
      </w:r>
      <w:proofErr w:type="spellStart"/>
      <w:r>
        <w:rPr>
          <w:rFonts w:ascii="Arial" w:hAnsi="Arial" w:cs="Arial"/>
          <w:bCs/>
          <w:sz w:val="20"/>
          <w:szCs w:val="20"/>
        </w:rPr>
        <w:t>Banwa</w:t>
      </w:r>
      <w:proofErr w:type="spellEnd"/>
      <w:r>
        <w:rPr>
          <w:rFonts w:ascii="Arial" w:hAnsi="Arial" w:cs="Arial"/>
          <w:bCs/>
          <w:sz w:val="20"/>
          <w:szCs w:val="20"/>
        </w:rPr>
        <w:t xml:space="preserve">, T.P. (2013).  The potential of </w:t>
      </w:r>
      <w:proofErr w:type="spellStart"/>
      <w:r>
        <w:rPr>
          <w:rFonts w:ascii="Arial" w:hAnsi="Arial" w:cs="Arial"/>
          <w:bCs/>
          <w:i/>
          <w:sz w:val="20"/>
          <w:szCs w:val="20"/>
        </w:rPr>
        <w:t>Tithonia</w:t>
      </w:r>
      <w:proofErr w:type="spellEnd"/>
      <w:r>
        <w:rPr>
          <w:rFonts w:ascii="Arial" w:hAnsi="Arial" w:cs="Arial"/>
          <w:bCs/>
          <w:i/>
          <w:sz w:val="20"/>
          <w:szCs w:val="20"/>
        </w:rPr>
        <w:t xml:space="preserve"> </w:t>
      </w:r>
      <w:proofErr w:type="spellStart"/>
      <w:r>
        <w:rPr>
          <w:rFonts w:ascii="Arial" w:hAnsi="Arial" w:cs="Arial"/>
          <w:bCs/>
          <w:i/>
          <w:sz w:val="20"/>
          <w:szCs w:val="20"/>
        </w:rPr>
        <w:t>diversifolia</w:t>
      </w:r>
      <w:proofErr w:type="spellEnd"/>
      <w:r>
        <w:rPr>
          <w:rFonts w:ascii="Arial" w:hAnsi="Arial" w:cs="Arial"/>
          <w:bCs/>
          <w:sz w:val="20"/>
          <w:szCs w:val="20"/>
        </w:rPr>
        <w:t xml:space="preserve"> (Wild Sunflower) as organic foliar fertilizer. </w:t>
      </w:r>
      <w:r>
        <w:rPr>
          <w:rFonts w:ascii="Arial" w:hAnsi="Arial" w:cs="Arial"/>
          <w:bCs/>
          <w:i/>
          <w:sz w:val="20"/>
          <w:szCs w:val="20"/>
        </w:rPr>
        <w:t>Eur. Sci. J. 4:465</w:t>
      </w:r>
      <w:r>
        <w:rPr>
          <w:rFonts w:ascii="Arial" w:hAnsi="Arial" w:cs="Arial"/>
          <w:color w:val="000000"/>
          <w:sz w:val="20"/>
          <w:szCs w:val="20"/>
        </w:rPr>
        <w:t>–</w:t>
      </w:r>
      <w:r>
        <w:rPr>
          <w:rFonts w:ascii="Arial" w:hAnsi="Arial" w:cs="Arial"/>
          <w:bCs/>
          <w:i/>
          <w:sz w:val="20"/>
          <w:szCs w:val="20"/>
        </w:rPr>
        <w:t>468</w:t>
      </w:r>
      <w:r>
        <w:rPr>
          <w:rFonts w:ascii="Arial" w:hAnsi="Arial" w:cs="Arial"/>
          <w:bCs/>
          <w:sz w:val="20"/>
          <w:szCs w:val="20"/>
        </w:rPr>
        <w:t>.</w:t>
      </w:r>
    </w:p>
    <w:p w:rsidR="00CD528E" w:rsidRDefault="00CD528E" w:rsidP="00CD528E">
      <w:pPr>
        <w:spacing w:after="0" w:line="360" w:lineRule="auto"/>
        <w:ind w:left="562" w:hanging="562"/>
        <w:contextualSpacing/>
        <w:jc w:val="both"/>
        <w:rPr>
          <w:rFonts w:ascii="Arial" w:hAnsi="Arial" w:cs="Arial"/>
          <w:bCs/>
          <w:i/>
          <w:sz w:val="20"/>
          <w:szCs w:val="20"/>
        </w:rPr>
      </w:pPr>
      <w:proofErr w:type="spellStart"/>
      <w:r>
        <w:rPr>
          <w:rFonts w:ascii="Arial" w:hAnsi="Arial" w:cs="Arial"/>
          <w:sz w:val="20"/>
          <w:szCs w:val="20"/>
        </w:rPr>
        <w:t>Drechsel</w:t>
      </w:r>
      <w:proofErr w:type="spellEnd"/>
      <w:r>
        <w:rPr>
          <w:rFonts w:ascii="Arial" w:hAnsi="Arial" w:cs="Arial"/>
          <w:sz w:val="20"/>
          <w:szCs w:val="20"/>
        </w:rPr>
        <w:t xml:space="preserve">, P. &amp; </w:t>
      </w:r>
      <w:proofErr w:type="spellStart"/>
      <w:r>
        <w:rPr>
          <w:rFonts w:ascii="Arial" w:hAnsi="Arial" w:cs="Arial"/>
          <w:sz w:val="20"/>
          <w:szCs w:val="20"/>
        </w:rPr>
        <w:t>Reck</w:t>
      </w:r>
      <w:proofErr w:type="spellEnd"/>
      <w:r>
        <w:rPr>
          <w:rFonts w:ascii="Arial" w:hAnsi="Arial" w:cs="Arial"/>
          <w:sz w:val="20"/>
          <w:szCs w:val="20"/>
        </w:rPr>
        <w:t>, B. (1998).  Composted shrub-</w:t>
      </w:r>
      <w:proofErr w:type="spellStart"/>
      <w:r>
        <w:rPr>
          <w:rFonts w:ascii="Arial" w:hAnsi="Arial" w:cs="Arial"/>
          <w:sz w:val="20"/>
          <w:szCs w:val="20"/>
        </w:rPr>
        <w:t>prunings</w:t>
      </w:r>
      <w:proofErr w:type="spellEnd"/>
      <w:r>
        <w:rPr>
          <w:rFonts w:ascii="Arial" w:hAnsi="Arial" w:cs="Arial"/>
          <w:sz w:val="20"/>
          <w:szCs w:val="20"/>
        </w:rPr>
        <w:t xml:space="preserve"> and other organic manures for smallholder farming systems in Southern Rwanda. </w:t>
      </w:r>
      <w:r>
        <w:rPr>
          <w:rFonts w:ascii="Arial" w:hAnsi="Arial" w:cs="Arial"/>
          <w:i/>
          <w:sz w:val="20"/>
          <w:szCs w:val="20"/>
        </w:rPr>
        <w:t>Agroforestry Systems 39: 1–12.</w:t>
      </w:r>
    </w:p>
    <w:p w:rsidR="00CD528E" w:rsidRDefault="00CD528E" w:rsidP="00CD528E">
      <w:pPr>
        <w:spacing w:after="0" w:line="360" w:lineRule="auto"/>
        <w:ind w:left="567" w:hanging="567"/>
        <w:contextualSpacing/>
        <w:jc w:val="both"/>
        <w:rPr>
          <w:rFonts w:ascii="Arial" w:hAnsi="Arial" w:cs="Arial"/>
          <w:sz w:val="20"/>
          <w:szCs w:val="20"/>
        </w:rPr>
      </w:pPr>
      <w:proofErr w:type="spellStart"/>
      <w:r>
        <w:rPr>
          <w:rFonts w:ascii="Arial" w:hAnsi="Arial" w:cs="Arial"/>
          <w:sz w:val="20"/>
          <w:szCs w:val="20"/>
        </w:rPr>
        <w:t>Fageria</w:t>
      </w:r>
      <w:proofErr w:type="spellEnd"/>
      <w:r>
        <w:rPr>
          <w:rFonts w:ascii="Arial" w:hAnsi="Arial" w:cs="Arial"/>
          <w:sz w:val="20"/>
          <w:szCs w:val="20"/>
        </w:rPr>
        <w:t>, N.K., Barbosa-Filho, M.P., Moreira, A. &amp; Guimaraes, C.C. (2009).</w:t>
      </w:r>
      <w:r>
        <w:rPr>
          <w:rFonts w:ascii="Arial" w:hAnsi="Arial" w:cs="Arial"/>
          <w:color w:val="FF0000"/>
          <w:sz w:val="20"/>
          <w:szCs w:val="20"/>
        </w:rPr>
        <w:t xml:space="preserve">  </w:t>
      </w:r>
      <w:r>
        <w:rPr>
          <w:rFonts w:ascii="Arial" w:hAnsi="Arial" w:cs="Arial"/>
          <w:sz w:val="20"/>
          <w:szCs w:val="20"/>
        </w:rPr>
        <w:t xml:space="preserve">Foliar fertilization of crop plants.  </w:t>
      </w:r>
      <w:r>
        <w:rPr>
          <w:rFonts w:ascii="Arial" w:hAnsi="Arial" w:cs="Arial"/>
          <w:i/>
          <w:sz w:val="20"/>
          <w:szCs w:val="20"/>
        </w:rPr>
        <w:t>J. Pant Nutri. 32:1044</w:t>
      </w:r>
      <w:r>
        <w:rPr>
          <w:rFonts w:ascii="Arial" w:hAnsi="Arial" w:cs="Arial"/>
          <w:color w:val="000000"/>
          <w:sz w:val="20"/>
          <w:szCs w:val="20"/>
        </w:rPr>
        <w:t>–</w:t>
      </w:r>
      <w:r>
        <w:rPr>
          <w:rFonts w:ascii="Arial" w:hAnsi="Arial" w:cs="Arial"/>
          <w:i/>
          <w:sz w:val="20"/>
          <w:szCs w:val="20"/>
        </w:rPr>
        <w:t>1064.</w:t>
      </w:r>
    </w:p>
    <w:p w:rsidR="00CD528E" w:rsidRDefault="00CD528E" w:rsidP="00CD528E">
      <w:pPr>
        <w:pStyle w:val="IJASEITReferenceItem"/>
        <w:spacing w:line="360" w:lineRule="auto"/>
        <w:ind w:left="432" w:hanging="432"/>
        <w:rPr>
          <w:rFonts w:ascii="Arial" w:hAnsi="Arial" w:cs="Arial"/>
          <w:sz w:val="20"/>
          <w:szCs w:val="20"/>
        </w:rPr>
      </w:pPr>
      <w:proofErr w:type="spellStart"/>
      <w:r>
        <w:rPr>
          <w:rFonts w:ascii="Arial" w:hAnsi="Arial" w:cs="Arial"/>
          <w:sz w:val="20"/>
          <w:szCs w:val="20"/>
        </w:rPr>
        <w:t>Fahrurrozi</w:t>
      </w:r>
      <w:proofErr w:type="spellEnd"/>
      <w:r>
        <w:rPr>
          <w:rFonts w:ascii="Arial" w:hAnsi="Arial" w:cs="Arial"/>
          <w:sz w:val="20"/>
          <w:szCs w:val="20"/>
        </w:rPr>
        <w:t xml:space="preserve">., </w:t>
      </w:r>
      <w:proofErr w:type="spellStart"/>
      <w:r>
        <w:rPr>
          <w:rFonts w:ascii="Arial" w:hAnsi="Arial" w:cs="Arial"/>
          <w:sz w:val="20"/>
          <w:szCs w:val="20"/>
        </w:rPr>
        <w:t>Muktamar</w:t>
      </w:r>
      <w:proofErr w:type="spellEnd"/>
      <w:r>
        <w:rPr>
          <w:rFonts w:ascii="Arial" w:hAnsi="Arial" w:cs="Arial"/>
          <w:sz w:val="20"/>
          <w:szCs w:val="20"/>
        </w:rPr>
        <w:t xml:space="preserve">, Z., </w:t>
      </w:r>
      <w:proofErr w:type="spellStart"/>
      <w:r>
        <w:rPr>
          <w:rFonts w:ascii="Arial" w:hAnsi="Arial" w:cs="Arial"/>
          <w:sz w:val="20"/>
          <w:szCs w:val="20"/>
        </w:rPr>
        <w:t>Setyowati</w:t>
      </w:r>
      <w:proofErr w:type="spellEnd"/>
      <w:r>
        <w:rPr>
          <w:rFonts w:ascii="Arial" w:hAnsi="Arial" w:cs="Arial"/>
          <w:sz w:val="20"/>
          <w:szCs w:val="20"/>
        </w:rPr>
        <w:t xml:space="preserve">, N., </w:t>
      </w:r>
      <w:proofErr w:type="spellStart"/>
      <w:r>
        <w:rPr>
          <w:rFonts w:ascii="Arial" w:hAnsi="Arial" w:cs="Arial"/>
          <w:sz w:val="20"/>
          <w:szCs w:val="20"/>
        </w:rPr>
        <w:t>Sudjatmiko</w:t>
      </w:r>
      <w:proofErr w:type="spellEnd"/>
      <w:r>
        <w:rPr>
          <w:rFonts w:ascii="Arial" w:hAnsi="Arial" w:cs="Arial"/>
          <w:sz w:val="20"/>
          <w:szCs w:val="20"/>
        </w:rPr>
        <w:t xml:space="preserve">, S. &amp; </w:t>
      </w:r>
      <w:proofErr w:type="spellStart"/>
      <w:r>
        <w:rPr>
          <w:rFonts w:ascii="Arial" w:hAnsi="Arial" w:cs="Arial"/>
          <w:sz w:val="20"/>
          <w:szCs w:val="20"/>
        </w:rPr>
        <w:t>Chozin</w:t>
      </w:r>
      <w:proofErr w:type="spellEnd"/>
      <w:r>
        <w:rPr>
          <w:rFonts w:ascii="Arial" w:hAnsi="Arial" w:cs="Arial"/>
          <w:sz w:val="20"/>
          <w:szCs w:val="20"/>
        </w:rPr>
        <w:t xml:space="preserve">, M. (2015).  Evaluation of </w:t>
      </w:r>
      <w:proofErr w:type="spellStart"/>
      <w:r>
        <w:rPr>
          <w:rFonts w:ascii="Arial" w:hAnsi="Arial" w:cs="Arial"/>
          <w:sz w:val="20"/>
          <w:szCs w:val="20"/>
        </w:rPr>
        <w:t>Tithonia</w:t>
      </w:r>
      <w:proofErr w:type="spellEnd"/>
      <w:r>
        <w:rPr>
          <w:rFonts w:ascii="Arial" w:hAnsi="Arial" w:cs="Arial"/>
          <w:sz w:val="20"/>
          <w:szCs w:val="20"/>
        </w:rPr>
        <w:t xml:space="preserve">-enriched liquid organic fertilizer for organic carrot production. </w:t>
      </w:r>
      <w:r>
        <w:rPr>
          <w:rFonts w:ascii="Arial" w:hAnsi="Arial" w:cs="Arial"/>
          <w:i/>
          <w:sz w:val="20"/>
          <w:szCs w:val="20"/>
        </w:rPr>
        <w:t>Int.  J. Agric. Technol.  11:1705</w:t>
      </w:r>
      <w:r>
        <w:rPr>
          <w:rFonts w:ascii="Arial" w:hAnsi="Arial" w:cs="Arial"/>
          <w:color w:val="000000"/>
          <w:sz w:val="20"/>
          <w:szCs w:val="20"/>
        </w:rPr>
        <w:t>–</w:t>
      </w:r>
      <w:r>
        <w:rPr>
          <w:rFonts w:ascii="Arial" w:hAnsi="Arial" w:cs="Arial"/>
          <w:i/>
          <w:sz w:val="20"/>
          <w:szCs w:val="20"/>
        </w:rPr>
        <w:t>1712.</w:t>
      </w:r>
    </w:p>
    <w:p w:rsidR="00CD528E" w:rsidRDefault="00CD528E" w:rsidP="00CD528E">
      <w:pPr>
        <w:pStyle w:val="IJASEITReferenceItem"/>
        <w:spacing w:line="360" w:lineRule="auto"/>
        <w:ind w:left="432" w:hanging="432"/>
        <w:rPr>
          <w:rFonts w:ascii="Arial" w:hAnsi="Arial" w:cs="Arial"/>
          <w:i/>
          <w:sz w:val="20"/>
          <w:szCs w:val="20"/>
        </w:rPr>
      </w:pPr>
      <w:proofErr w:type="spellStart"/>
      <w:r>
        <w:rPr>
          <w:rFonts w:ascii="Arial" w:hAnsi="Arial" w:cs="Arial"/>
          <w:sz w:val="20"/>
          <w:szCs w:val="20"/>
          <w:lang w:eastAsia="id-ID"/>
        </w:rPr>
        <w:t>Fahrurrozi</w:t>
      </w:r>
      <w:proofErr w:type="spellEnd"/>
      <w:r>
        <w:rPr>
          <w:rFonts w:ascii="Arial" w:hAnsi="Arial" w:cs="Arial"/>
          <w:sz w:val="20"/>
          <w:szCs w:val="20"/>
          <w:lang w:eastAsia="id-ID"/>
        </w:rPr>
        <w:t xml:space="preserve">., </w:t>
      </w:r>
      <w:proofErr w:type="spellStart"/>
      <w:r>
        <w:rPr>
          <w:rFonts w:ascii="Arial" w:hAnsi="Arial" w:cs="Arial"/>
          <w:sz w:val="20"/>
          <w:szCs w:val="20"/>
          <w:lang w:eastAsia="id-ID"/>
        </w:rPr>
        <w:t>Muktamar</w:t>
      </w:r>
      <w:proofErr w:type="spellEnd"/>
      <w:r>
        <w:rPr>
          <w:rFonts w:ascii="Arial" w:hAnsi="Arial" w:cs="Arial"/>
          <w:sz w:val="20"/>
          <w:szCs w:val="20"/>
          <w:lang w:eastAsia="id-ID"/>
        </w:rPr>
        <w:t xml:space="preserve">, Z., </w:t>
      </w:r>
      <w:proofErr w:type="spellStart"/>
      <w:r>
        <w:rPr>
          <w:rFonts w:ascii="Arial" w:hAnsi="Arial" w:cs="Arial"/>
          <w:sz w:val="20"/>
          <w:szCs w:val="20"/>
          <w:lang w:eastAsia="id-ID"/>
        </w:rPr>
        <w:t>Dwatmadji</w:t>
      </w:r>
      <w:proofErr w:type="spellEnd"/>
      <w:r>
        <w:rPr>
          <w:rFonts w:ascii="Arial" w:hAnsi="Arial" w:cs="Arial"/>
          <w:sz w:val="20"/>
          <w:szCs w:val="20"/>
          <w:lang w:eastAsia="id-ID"/>
        </w:rPr>
        <w:t xml:space="preserve">, </w:t>
      </w:r>
      <w:proofErr w:type="spellStart"/>
      <w:r>
        <w:rPr>
          <w:rFonts w:ascii="Arial" w:hAnsi="Arial" w:cs="Arial"/>
          <w:sz w:val="20"/>
          <w:szCs w:val="20"/>
          <w:lang w:eastAsia="id-ID"/>
        </w:rPr>
        <w:t>Setyowati</w:t>
      </w:r>
      <w:proofErr w:type="spellEnd"/>
      <w:r>
        <w:rPr>
          <w:rFonts w:ascii="Arial" w:hAnsi="Arial" w:cs="Arial"/>
          <w:sz w:val="20"/>
          <w:szCs w:val="20"/>
          <w:lang w:eastAsia="id-ID"/>
        </w:rPr>
        <w:t xml:space="preserve">, N., </w:t>
      </w:r>
      <w:proofErr w:type="spellStart"/>
      <w:r>
        <w:rPr>
          <w:rFonts w:ascii="Arial" w:hAnsi="Arial" w:cs="Arial"/>
          <w:sz w:val="20"/>
          <w:szCs w:val="20"/>
          <w:lang w:eastAsia="id-ID"/>
        </w:rPr>
        <w:t>Sudjatmiko</w:t>
      </w:r>
      <w:proofErr w:type="spellEnd"/>
      <w:r>
        <w:rPr>
          <w:rFonts w:ascii="Arial" w:hAnsi="Arial" w:cs="Arial"/>
          <w:sz w:val="20"/>
          <w:szCs w:val="20"/>
          <w:lang w:eastAsia="id-ID"/>
        </w:rPr>
        <w:t xml:space="preserve">, S. &amp; </w:t>
      </w:r>
      <w:proofErr w:type="spellStart"/>
      <w:r>
        <w:rPr>
          <w:rFonts w:ascii="Arial" w:hAnsi="Arial" w:cs="Arial"/>
          <w:sz w:val="20"/>
          <w:szCs w:val="20"/>
          <w:lang w:eastAsia="id-ID"/>
        </w:rPr>
        <w:t>Chozin</w:t>
      </w:r>
      <w:proofErr w:type="spellEnd"/>
      <w:r>
        <w:rPr>
          <w:rFonts w:ascii="Arial" w:hAnsi="Arial" w:cs="Arial"/>
          <w:sz w:val="20"/>
          <w:szCs w:val="20"/>
          <w:lang w:eastAsia="id-ID"/>
        </w:rPr>
        <w:t>, M. (2016).  Growth and yield responses of three sweet-corn (</w:t>
      </w:r>
      <w:proofErr w:type="spellStart"/>
      <w:r>
        <w:rPr>
          <w:rFonts w:ascii="Arial" w:hAnsi="Arial" w:cs="Arial"/>
          <w:i/>
          <w:sz w:val="20"/>
          <w:szCs w:val="20"/>
          <w:lang w:eastAsia="id-ID"/>
        </w:rPr>
        <w:t>Zea</w:t>
      </w:r>
      <w:proofErr w:type="spellEnd"/>
      <w:r>
        <w:rPr>
          <w:rFonts w:ascii="Arial" w:hAnsi="Arial" w:cs="Arial"/>
          <w:i/>
          <w:sz w:val="20"/>
          <w:szCs w:val="20"/>
          <w:lang w:eastAsia="id-ID"/>
        </w:rPr>
        <w:t xml:space="preserve"> mays </w:t>
      </w:r>
      <w:r>
        <w:rPr>
          <w:rFonts w:ascii="Arial" w:hAnsi="Arial" w:cs="Arial"/>
          <w:sz w:val="20"/>
          <w:szCs w:val="20"/>
          <w:lang w:eastAsia="id-ID"/>
        </w:rPr>
        <w:t xml:space="preserve">L. var. </w:t>
      </w:r>
      <w:proofErr w:type="spellStart"/>
      <w:r>
        <w:rPr>
          <w:rFonts w:ascii="Arial" w:hAnsi="Arial" w:cs="Arial"/>
          <w:sz w:val="20"/>
          <w:szCs w:val="20"/>
          <w:lang w:eastAsia="id-ID"/>
        </w:rPr>
        <w:t>Saccharata</w:t>
      </w:r>
      <w:proofErr w:type="spellEnd"/>
      <w:r>
        <w:rPr>
          <w:rFonts w:ascii="Arial" w:hAnsi="Arial" w:cs="Arial"/>
          <w:sz w:val="20"/>
          <w:szCs w:val="20"/>
          <w:lang w:eastAsia="id-ID"/>
        </w:rPr>
        <w:t>) varieties to local-based liquid organic fertilizer</w:t>
      </w:r>
      <w:r>
        <w:rPr>
          <w:rFonts w:ascii="Arial" w:hAnsi="Arial" w:cs="Arial"/>
          <w:i/>
          <w:sz w:val="20"/>
          <w:szCs w:val="20"/>
          <w:lang w:eastAsia="id-ID"/>
        </w:rPr>
        <w:t>. Int. J. Adv. Sci., Eng. Inf. Technol.  6</w:t>
      </w:r>
      <w:r>
        <w:rPr>
          <w:rFonts w:ascii="Arial" w:hAnsi="Arial" w:cs="Arial"/>
          <w:i/>
          <w:sz w:val="20"/>
          <w:szCs w:val="20"/>
        </w:rPr>
        <w:t>:319</w:t>
      </w:r>
      <w:r>
        <w:rPr>
          <w:rFonts w:ascii="Arial" w:hAnsi="Arial" w:cs="Arial"/>
          <w:color w:val="000000"/>
          <w:sz w:val="20"/>
          <w:szCs w:val="20"/>
        </w:rPr>
        <w:t>–</w:t>
      </w:r>
      <w:r>
        <w:rPr>
          <w:rFonts w:ascii="Arial" w:hAnsi="Arial" w:cs="Arial"/>
          <w:i/>
          <w:sz w:val="20"/>
          <w:szCs w:val="20"/>
        </w:rPr>
        <w:t>323.</w:t>
      </w:r>
    </w:p>
    <w:p w:rsidR="00CD528E" w:rsidRDefault="00CD528E" w:rsidP="00CD528E">
      <w:pPr>
        <w:pStyle w:val="IJASEITReferenceItem"/>
        <w:spacing w:line="360" w:lineRule="auto"/>
        <w:ind w:left="432" w:hanging="432"/>
        <w:rPr>
          <w:rFonts w:ascii="Arial" w:hAnsi="Arial" w:cs="Arial"/>
          <w:i/>
          <w:sz w:val="20"/>
          <w:szCs w:val="20"/>
        </w:rPr>
      </w:pPr>
      <w:r>
        <w:rPr>
          <w:rFonts w:ascii="Arial" w:hAnsi="Arial" w:cs="Arial"/>
          <w:sz w:val="20"/>
          <w:szCs w:val="20"/>
        </w:rPr>
        <w:t xml:space="preserve">Fernandez, V. &amp; </w:t>
      </w:r>
      <w:proofErr w:type="spellStart"/>
      <w:proofErr w:type="gramStart"/>
      <w:r>
        <w:rPr>
          <w:rFonts w:ascii="Arial" w:hAnsi="Arial" w:cs="Arial"/>
          <w:sz w:val="20"/>
          <w:szCs w:val="20"/>
        </w:rPr>
        <w:t>Eichert</w:t>
      </w:r>
      <w:proofErr w:type="spellEnd"/>
      <w:r>
        <w:rPr>
          <w:rFonts w:ascii="Arial" w:hAnsi="Arial" w:cs="Arial"/>
          <w:sz w:val="20"/>
          <w:szCs w:val="20"/>
        </w:rPr>
        <w:t xml:space="preserve"> ,</w:t>
      </w:r>
      <w:proofErr w:type="gramEnd"/>
      <w:r>
        <w:rPr>
          <w:rFonts w:ascii="Arial" w:hAnsi="Arial" w:cs="Arial"/>
          <w:sz w:val="20"/>
          <w:szCs w:val="20"/>
        </w:rPr>
        <w:t xml:space="preserve"> T. (2009).  Uptake of hydrophilic solutes through plant leaves: current state of knowledge and perspectives of foliar fertilization. </w:t>
      </w:r>
      <w:r>
        <w:rPr>
          <w:rFonts w:ascii="Arial" w:eastAsia="Times New Roman" w:hAnsi="Arial" w:cs="Arial"/>
          <w:i/>
          <w:sz w:val="20"/>
          <w:szCs w:val="20"/>
          <w:lang w:eastAsia="id-ID"/>
        </w:rPr>
        <w:t xml:space="preserve">Crit. Rev. Plant. Sci. </w:t>
      </w:r>
      <w:r>
        <w:rPr>
          <w:rFonts w:ascii="Arial" w:hAnsi="Arial" w:cs="Arial"/>
          <w:i/>
          <w:sz w:val="20"/>
          <w:szCs w:val="20"/>
        </w:rPr>
        <w:t>28:36</w:t>
      </w:r>
      <w:r>
        <w:rPr>
          <w:rFonts w:ascii="Arial" w:hAnsi="Arial" w:cs="Arial"/>
          <w:color w:val="000000"/>
          <w:sz w:val="20"/>
          <w:szCs w:val="20"/>
        </w:rPr>
        <w:t>–</w:t>
      </w:r>
      <w:r>
        <w:rPr>
          <w:rFonts w:ascii="Arial" w:hAnsi="Arial" w:cs="Arial"/>
          <w:i/>
          <w:sz w:val="20"/>
          <w:szCs w:val="20"/>
        </w:rPr>
        <w:t xml:space="preserve">68. </w:t>
      </w:r>
    </w:p>
    <w:p w:rsidR="00CD528E" w:rsidRDefault="00CD528E" w:rsidP="00CD528E">
      <w:pPr>
        <w:pStyle w:val="IJASEITReferenceItem"/>
        <w:spacing w:line="360" w:lineRule="auto"/>
        <w:ind w:left="432" w:hanging="432"/>
        <w:rPr>
          <w:rFonts w:ascii="Arial" w:hAnsi="Arial" w:cs="Arial"/>
          <w:sz w:val="20"/>
          <w:szCs w:val="20"/>
        </w:rPr>
      </w:pPr>
      <w:proofErr w:type="spellStart"/>
      <w:r>
        <w:rPr>
          <w:rFonts w:ascii="Arial" w:hAnsi="Arial" w:cs="Arial"/>
          <w:sz w:val="20"/>
          <w:szCs w:val="20"/>
        </w:rPr>
        <w:t>Foth</w:t>
      </w:r>
      <w:proofErr w:type="spellEnd"/>
      <w:r>
        <w:rPr>
          <w:rFonts w:ascii="Arial" w:hAnsi="Arial" w:cs="Arial"/>
          <w:sz w:val="20"/>
          <w:szCs w:val="20"/>
        </w:rPr>
        <w:t>, H.D. &amp; Ellis, B.G. (1997). Soil fertility. 2</w:t>
      </w:r>
      <w:r>
        <w:rPr>
          <w:rFonts w:ascii="Arial" w:hAnsi="Arial" w:cs="Arial"/>
          <w:sz w:val="20"/>
          <w:szCs w:val="20"/>
          <w:vertAlign w:val="superscript"/>
        </w:rPr>
        <w:t>nd</w:t>
      </w:r>
      <w:r>
        <w:rPr>
          <w:rFonts w:ascii="Arial" w:hAnsi="Arial" w:cs="Arial"/>
          <w:sz w:val="20"/>
          <w:szCs w:val="20"/>
        </w:rPr>
        <w:t xml:space="preserve"> Ed. Lewis Publishers. Tokyo.</w:t>
      </w:r>
    </w:p>
    <w:p w:rsidR="00CD528E" w:rsidRDefault="00CD528E" w:rsidP="00CD528E">
      <w:pPr>
        <w:spacing w:after="0" w:line="360" w:lineRule="auto"/>
        <w:ind w:left="567" w:hanging="567"/>
        <w:contextualSpacing/>
        <w:jc w:val="both"/>
        <w:rPr>
          <w:rFonts w:ascii="Arial" w:hAnsi="Arial" w:cs="Arial"/>
          <w:sz w:val="20"/>
          <w:szCs w:val="20"/>
        </w:rPr>
      </w:pPr>
      <w:proofErr w:type="spellStart"/>
      <w:r>
        <w:rPr>
          <w:rFonts w:ascii="Arial" w:eastAsia="Times New Roman" w:hAnsi="Arial" w:cs="Arial"/>
          <w:sz w:val="20"/>
          <w:szCs w:val="20"/>
        </w:rPr>
        <w:t>H</w:t>
      </w:r>
      <w:r>
        <w:rPr>
          <w:rFonts w:ascii="Arial" w:eastAsia="Times New Roman" w:hAnsi="Arial" w:cs="Arial"/>
          <w:spacing w:val="2"/>
          <w:sz w:val="20"/>
          <w:szCs w:val="20"/>
        </w:rPr>
        <w:t>a</w:t>
      </w:r>
      <w:r>
        <w:rPr>
          <w:rFonts w:ascii="Arial" w:eastAsia="Times New Roman" w:hAnsi="Arial" w:cs="Arial"/>
          <w:spacing w:val="-2"/>
          <w:sz w:val="20"/>
          <w:szCs w:val="20"/>
        </w:rPr>
        <w:t>g</w:t>
      </w:r>
      <w:r>
        <w:rPr>
          <w:rFonts w:ascii="Arial" w:eastAsia="Times New Roman" w:hAnsi="Arial" w:cs="Arial"/>
          <w:spacing w:val="1"/>
          <w:sz w:val="20"/>
          <w:szCs w:val="20"/>
        </w:rPr>
        <w:t>i</w:t>
      </w:r>
      <w:r>
        <w:rPr>
          <w:rFonts w:ascii="Arial" w:eastAsia="Times New Roman" w:hAnsi="Arial" w:cs="Arial"/>
          <w:sz w:val="20"/>
          <w:szCs w:val="20"/>
        </w:rPr>
        <w:t>n</w:t>
      </w:r>
      <w:proofErr w:type="spellEnd"/>
      <w:r>
        <w:rPr>
          <w:rFonts w:ascii="Arial" w:eastAsia="Times New Roman" w:hAnsi="Arial" w:cs="Arial"/>
          <w:sz w:val="20"/>
          <w:szCs w:val="20"/>
        </w:rPr>
        <w:t xml:space="preserve">, </w:t>
      </w:r>
      <w:r>
        <w:rPr>
          <w:rFonts w:ascii="Arial" w:eastAsia="Times New Roman" w:hAnsi="Arial" w:cs="Arial"/>
          <w:spacing w:val="3"/>
          <w:sz w:val="20"/>
          <w:szCs w:val="20"/>
        </w:rPr>
        <w:t>J</w:t>
      </w:r>
      <w:r>
        <w:rPr>
          <w:rFonts w:ascii="Arial" w:eastAsia="Times New Roman" w:hAnsi="Arial" w:cs="Arial"/>
          <w:sz w:val="20"/>
          <w:szCs w:val="20"/>
        </w:rPr>
        <w:t>. &amp; Tu</w:t>
      </w:r>
      <w:r>
        <w:rPr>
          <w:rFonts w:ascii="Arial" w:eastAsia="Times New Roman" w:hAnsi="Arial" w:cs="Arial"/>
          <w:spacing w:val="-1"/>
          <w:sz w:val="20"/>
          <w:szCs w:val="20"/>
        </w:rPr>
        <w:t>c</w:t>
      </w:r>
      <w:r>
        <w:rPr>
          <w:rFonts w:ascii="Arial" w:eastAsia="Times New Roman" w:hAnsi="Arial" w:cs="Arial"/>
          <w:spacing w:val="3"/>
          <w:sz w:val="20"/>
          <w:szCs w:val="20"/>
        </w:rPr>
        <w:t>k</w:t>
      </w:r>
      <w:r>
        <w:rPr>
          <w:rFonts w:ascii="Arial" w:eastAsia="Times New Roman" w:hAnsi="Arial" w:cs="Arial"/>
          <w:spacing w:val="-1"/>
          <w:sz w:val="20"/>
          <w:szCs w:val="20"/>
        </w:rPr>
        <w:t>er, B</w:t>
      </w:r>
      <w:r>
        <w:rPr>
          <w:rFonts w:ascii="Arial" w:eastAsia="Times New Roman" w:hAnsi="Arial" w:cs="Arial"/>
          <w:sz w:val="20"/>
          <w:szCs w:val="20"/>
        </w:rPr>
        <w:t xml:space="preserve">. (1982). </w:t>
      </w:r>
      <w:r>
        <w:rPr>
          <w:rFonts w:ascii="Arial" w:eastAsia="Times New Roman" w:hAnsi="Arial" w:cs="Arial"/>
          <w:spacing w:val="-1"/>
          <w:sz w:val="20"/>
          <w:szCs w:val="20"/>
        </w:rPr>
        <w:t>F</w:t>
      </w:r>
      <w:r>
        <w:rPr>
          <w:rFonts w:ascii="Arial" w:eastAsia="Times New Roman" w:hAnsi="Arial" w:cs="Arial"/>
          <w:spacing w:val="2"/>
          <w:sz w:val="20"/>
          <w:szCs w:val="20"/>
        </w:rPr>
        <w:t>e</w:t>
      </w:r>
      <w:r>
        <w:rPr>
          <w:rFonts w:ascii="Arial" w:eastAsia="Times New Roman" w:hAnsi="Arial" w:cs="Arial"/>
          <w:spacing w:val="-1"/>
          <w:sz w:val="20"/>
          <w:szCs w:val="20"/>
        </w:rPr>
        <w:t>r</w:t>
      </w:r>
      <w:r>
        <w:rPr>
          <w:rFonts w:ascii="Arial" w:eastAsia="Times New Roman" w:hAnsi="Arial" w:cs="Arial"/>
          <w:spacing w:val="1"/>
          <w:sz w:val="20"/>
          <w:szCs w:val="20"/>
        </w:rPr>
        <w:t>tili</w:t>
      </w:r>
      <w:r>
        <w:rPr>
          <w:rFonts w:ascii="Arial" w:eastAsia="Times New Roman" w:hAnsi="Arial" w:cs="Arial"/>
          <w:spacing w:val="2"/>
          <w:sz w:val="20"/>
          <w:szCs w:val="20"/>
        </w:rPr>
        <w:t>z</w:t>
      </w:r>
      <w:r>
        <w:rPr>
          <w:rFonts w:ascii="Arial" w:eastAsia="Times New Roman" w:hAnsi="Arial" w:cs="Arial"/>
          <w:spacing w:val="-1"/>
          <w:sz w:val="20"/>
          <w:szCs w:val="20"/>
        </w:rPr>
        <w:t>a</w:t>
      </w:r>
      <w:r>
        <w:rPr>
          <w:rFonts w:ascii="Arial" w:eastAsia="Times New Roman" w:hAnsi="Arial" w:cs="Arial"/>
          <w:spacing w:val="1"/>
          <w:sz w:val="20"/>
          <w:szCs w:val="20"/>
        </w:rPr>
        <w:t>ti</w:t>
      </w:r>
      <w:r>
        <w:rPr>
          <w:rFonts w:ascii="Arial" w:eastAsia="Times New Roman" w:hAnsi="Arial" w:cs="Arial"/>
          <w:sz w:val="20"/>
          <w:szCs w:val="20"/>
        </w:rPr>
        <w:t>on of D</w:t>
      </w:r>
      <w:r>
        <w:rPr>
          <w:rFonts w:ascii="Arial" w:eastAsia="Times New Roman" w:hAnsi="Arial" w:cs="Arial"/>
          <w:spacing w:val="2"/>
          <w:sz w:val="20"/>
          <w:szCs w:val="20"/>
        </w:rPr>
        <w:t>r</w:t>
      </w:r>
      <w:r>
        <w:rPr>
          <w:rFonts w:ascii="Arial" w:eastAsia="Times New Roman" w:hAnsi="Arial" w:cs="Arial"/>
          <w:spacing w:val="-5"/>
          <w:sz w:val="20"/>
          <w:szCs w:val="20"/>
        </w:rPr>
        <w:t>y</w:t>
      </w:r>
      <w:r>
        <w:rPr>
          <w:rFonts w:ascii="Arial" w:eastAsia="Times New Roman" w:hAnsi="Arial" w:cs="Arial"/>
          <w:spacing w:val="1"/>
          <w:sz w:val="20"/>
          <w:szCs w:val="20"/>
        </w:rPr>
        <w:t>l</w:t>
      </w:r>
      <w:r>
        <w:rPr>
          <w:rFonts w:ascii="Arial" w:eastAsia="Times New Roman" w:hAnsi="Arial" w:cs="Arial"/>
          <w:spacing w:val="-1"/>
          <w:sz w:val="20"/>
          <w:szCs w:val="20"/>
        </w:rPr>
        <w:t>a</w:t>
      </w:r>
      <w:r>
        <w:rPr>
          <w:rFonts w:ascii="Arial" w:eastAsia="Times New Roman" w:hAnsi="Arial" w:cs="Arial"/>
          <w:sz w:val="20"/>
          <w:szCs w:val="20"/>
        </w:rPr>
        <w:t xml:space="preserve">nd </w:t>
      </w:r>
      <w:r>
        <w:rPr>
          <w:rFonts w:ascii="Arial" w:eastAsia="Times New Roman" w:hAnsi="Arial" w:cs="Arial"/>
          <w:spacing w:val="-1"/>
          <w:sz w:val="20"/>
          <w:szCs w:val="20"/>
        </w:rPr>
        <w:t>a</w:t>
      </w:r>
      <w:r>
        <w:rPr>
          <w:rFonts w:ascii="Arial" w:eastAsia="Times New Roman" w:hAnsi="Arial" w:cs="Arial"/>
          <w:sz w:val="20"/>
          <w:szCs w:val="20"/>
        </w:rPr>
        <w:t xml:space="preserve">nd </w:t>
      </w:r>
      <w:r>
        <w:rPr>
          <w:rFonts w:ascii="Arial" w:eastAsia="Times New Roman" w:hAnsi="Arial" w:cs="Arial"/>
          <w:spacing w:val="-3"/>
          <w:sz w:val="20"/>
          <w:szCs w:val="20"/>
        </w:rPr>
        <w:t>I</w:t>
      </w:r>
      <w:r>
        <w:rPr>
          <w:rFonts w:ascii="Arial" w:eastAsia="Times New Roman" w:hAnsi="Arial" w:cs="Arial"/>
          <w:spacing w:val="2"/>
          <w:sz w:val="20"/>
          <w:szCs w:val="20"/>
        </w:rPr>
        <w:t>r</w:t>
      </w:r>
      <w:r>
        <w:rPr>
          <w:rFonts w:ascii="Arial" w:eastAsia="Times New Roman" w:hAnsi="Arial" w:cs="Arial"/>
          <w:spacing w:val="-1"/>
          <w:sz w:val="20"/>
          <w:szCs w:val="20"/>
        </w:rPr>
        <w:t>r</w:t>
      </w:r>
      <w:r>
        <w:rPr>
          <w:rFonts w:ascii="Arial" w:eastAsia="Times New Roman" w:hAnsi="Arial" w:cs="Arial"/>
          <w:spacing w:val="3"/>
          <w:sz w:val="20"/>
          <w:szCs w:val="20"/>
        </w:rPr>
        <w:t>i</w:t>
      </w:r>
      <w:r>
        <w:rPr>
          <w:rFonts w:ascii="Arial" w:eastAsia="Times New Roman" w:hAnsi="Arial" w:cs="Arial"/>
          <w:spacing w:val="-2"/>
          <w:sz w:val="20"/>
          <w:szCs w:val="20"/>
        </w:rPr>
        <w:t>g</w:t>
      </w:r>
      <w:r>
        <w:rPr>
          <w:rFonts w:ascii="Arial" w:eastAsia="Times New Roman" w:hAnsi="Arial" w:cs="Arial"/>
          <w:spacing w:val="-1"/>
          <w:sz w:val="20"/>
          <w:szCs w:val="20"/>
        </w:rPr>
        <w:t>a</w:t>
      </w:r>
      <w:r>
        <w:rPr>
          <w:rFonts w:ascii="Arial" w:eastAsia="Times New Roman" w:hAnsi="Arial" w:cs="Arial"/>
          <w:spacing w:val="1"/>
          <w:sz w:val="20"/>
          <w:szCs w:val="20"/>
        </w:rPr>
        <w:t>t</w:t>
      </w:r>
      <w:r>
        <w:rPr>
          <w:rFonts w:ascii="Arial" w:eastAsia="Times New Roman" w:hAnsi="Arial" w:cs="Arial"/>
          <w:spacing w:val="-1"/>
          <w:sz w:val="20"/>
          <w:szCs w:val="20"/>
        </w:rPr>
        <w:t>e</w:t>
      </w:r>
      <w:r>
        <w:rPr>
          <w:rFonts w:ascii="Arial" w:eastAsia="Times New Roman" w:hAnsi="Arial" w:cs="Arial"/>
          <w:sz w:val="20"/>
          <w:szCs w:val="20"/>
        </w:rPr>
        <w:t xml:space="preserve">d </w:t>
      </w:r>
      <w:r>
        <w:rPr>
          <w:rFonts w:ascii="Arial" w:eastAsia="Times New Roman" w:hAnsi="Arial" w:cs="Arial"/>
          <w:spacing w:val="1"/>
          <w:sz w:val="20"/>
          <w:szCs w:val="20"/>
        </w:rPr>
        <w:t>S</w:t>
      </w:r>
      <w:r>
        <w:rPr>
          <w:rFonts w:ascii="Arial" w:eastAsia="Times New Roman" w:hAnsi="Arial" w:cs="Arial"/>
          <w:sz w:val="20"/>
          <w:szCs w:val="20"/>
        </w:rPr>
        <w:t>o</w:t>
      </w:r>
      <w:r>
        <w:rPr>
          <w:rFonts w:ascii="Arial" w:eastAsia="Times New Roman" w:hAnsi="Arial" w:cs="Arial"/>
          <w:spacing w:val="1"/>
          <w:sz w:val="20"/>
          <w:szCs w:val="20"/>
        </w:rPr>
        <w:t>il</w:t>
      </w:r>
      <w:r>
        <w:rPr>
          <w:rFonts w:ascii="Arial" w:eastAsia="Times New Roman" w:hAnsi="Arial" w:cs="Arial"/>
          <w:sz w:val="20"/>
          <w:szCs w:val="20"/>
        </w:rPr>
        <w:t xml:space="preserve">. </w:t>
      </w:r>
      <w:r>
        <w:rPr>
          <w:rFonts w:ascii="Arial" w:eastAsia="Times New Roman" w:hAnsi="Arial" w:cs="Arial"/>
          <w:spacing w:val="1"/>
          <w:sz w:val="20"/>
          <w:szCs w:val="20"/>
        </w:rPr>
        <w:t>S</w:t>
      </w:r>
      <w:r>
        <w:rPr>
          <w:rFonts w:ascii="Arial" w:eastAsia="Times New Roman" w:hAnsi="Arial" w:cs="Arial"/>
          <w:sz w:val="20"/>
          <w:szCs w:val="20"/>
        </w:rPr>
        <w:t>p</w:t>
      </w:r>
      <w:r>
        <w:rPr>
          <w:rFonts w:ascii="Arial" w:eastAsia="Times New Roman" w:hAnsi="Arial" w:cs="Arial"/>
          <w:spacing w:val="-1"/>
          <w:sz w:val="20"/>
          <w:szCs w:val="20"/>
        </w:rPr>
        <w:t>r</w:t>
      </w:r>
      <w:r>
        <w:rPr>
          <w:rFonts w:ascii="Arial" w:eastAsia="Times New Roman" w:hAnsi="Arial" w:cs="Arial"/>
          <w:spacing w:val="1"/>
          <w:sz w:val="20"/>
          <w:szCs w:val="20"/>
        </w:rPr>
        <w:t>i</w:t>
      </w:r>
      <w:r>
        <w:rPr>
          <w:rFonts w:ascii="Arial" w:eastAsia="Times New Roman" w:hAnsi="Arial" w:cs="Arial"/>
          <w:sz w:val="20"/>
          <w:szCs w:val="20"/>
        </w:rPr>
        <w:t>n</w:t>
      </w:r>
      <w:r>
        <w:rPr>
          <w:rFonts w:ascii="Arial" w:eastAsia="Times New Roman" w:hAnsi="Arial" w:cs="Arial"/>
          <w:spacing w:val="-2"/>
          <w:sz w:val="20"/>
          <w:szCs w:val="20"/>
        </w:rPr>
        <w:t>g</w:t>
      </w:r>
      <w:r>
        <w:rPr>
          <w:rFonts w:ascii="Arial" w:eastAsia="Times New Roman" w:hAnsi="Arial" w:cs="Arial"/>
          <w:sz w:val="20"/>
          <w:szCs w:val="20"/>
        </w:rPr>
        <w:t>s-</w:t>
      </w:r>
      <w:proofErr w:type="spellStart"/>
      <w:r>
        <w:rPr>
          <w:rFonts w:ascii="Arial" w:eastAsia="Times New Roman" w:hAnsi="Arial" w:cs="Arial"/>
          <w:sz w:val="20"/>
          <w:szCs w:val="20"/>
        </w:rPr>
        <w:t>v</w:t>
      </w:r>
      <w:r>
        <w:rPr>
          <w:rFonts w:ascii="Arial" w:eastAsia="Times New Roman" w:hAnsi="Arial" w:cs="Arial"/>
          <w:spacing w:val="-1"/>
          <w:sz w:val="20"/>
          <w:szCs w:val="20"/>
        </w:rPr>
        <w:t>er</w:t>
      </w:r>
      <w:r>
        <w:rPr>
          <w:rFonts w:ascii="Arial" w:eastAsia="Times New Roman" w:hAnsi="Arial" w:cs="Arial"/>
          <w:spacing w:val="1"/>
          <w:sz w:val="20"/>
          <w:szCs w:val="20"/>
        </w:rPr>
        <w:t>l</w:t>
      </w:r>
      <w:r>
        <w:rPr>
          <w:rFonts w:ascii="Arial" w:eastAsia="Times New Roman" w:hAnsi="Arial" w:cs="Arial"/>
          <w:spacing w:val="2"/>
          <w:sz w:val="20"/>
          <w:szCs w:val="20"/>
        </w:rPr>
        <w:t>a</w:t>
      </w:r>
      <w:r>
        <w:rPr>
          <w:rFonts w:ascii="Arial" w:eastAsia="Times New Roman" w:hAnsi="Arial" w:cs="Arial"/>
          <w:spacing w:val="-2"/>
          <w:sz w:val="20"/>
          <w:szCs w:val="20"/>
        </w:rPr>
        <w:t>g</w:t>
      </w:r>
      <w:proofErr w:type="spellEnd"/>
      <w:r>
        <w:rPr>
          <w:rFonts w:ascii="Arial" w:eastAsia="Times New Roman" w:hAnsi="Arial" w:cs="Arial"/>
          <w:sz w:val="20"/>
          <w:szCs w:val="20"/>
        </w:rPr>
        <w:t>, B</w:t>
      </w:r>
      <w:r>
        <w:rPr>
          <w:rFonts w:ascii="Arial" w:eastAsia="Times New Roman" w:hAnsi="Arial" w:cs="Arial"/>
          <w:spacing w:val="-1"/>
          <w:sz w:val="20"/>
          <w:szCs w:val="20"/>
        </w:rPr>
        <w:t>er</w:t>
      </w:r>
      <w:r>
        <w:rPr>
          <w:rFonts w:ascii="Arial" w:eastAsia="Times New Roman" w:hAnsi="Arial" w:cs="Arial"/>
          <w:spacing w:val="1"/>
          <w:sz w:val="20"/>
          <w:szCs w:val="20"/>
        </w:rPr>
        <w:t>li</w:t>
      </w:r>
      <w:r>
        <w:rPr>
          <w:rFonts w:ascii="Arial" w:eastAsia="Times New Roman" w:hAnsi="Arial" w:cs="Arial"/>
          <w:sz w:val="20"/>
          <w:szCs w:val="20"/>
        </w:rPr>
        <w:t xml:space="preserve">n. </w:t>
      </w:r>
      <w:proofErr w:type="spellStart"/>
      <w:r>
        <w:rPr>
          <w:rFonts w:ascii="Arial" w:eastAsia="Times New Roman" w:hAnsi="Arial" w:cs="Arial"/>
          <w:spacing w:val="2"/>
          <w:sz w:val="20"/>
          <w:szCs w:val="20"/>
        </w:rPr>
        <w:t>H</w:t>
      </w:r>
      <w:r>
        <w:rPr>
          <w:rFonts w:ascii="Arial" w:eastAsia="Times New Roman" w:hAnsi="Arial" w:cs="Arial"/>
          <w:spacing w:val="-1"/>
          <w:sz w:val="20"/>
          <w:szCs w:val="20"/>
        </w:rPr>
        <w:t>e</w:t>
      </w:r>
      <w:r>
        <w:rPr>
          <w:rFonts w:ascii="Arial" w:eastAsia="Times New Roman" w:hAnsi="Arial" w:cs="Arial"/>
          <w:spacing w:val="1"/>
          <w:sz w:val="20"/>
          <w:szCs w:val="20"/>
        </w:rPr>
        <w:t>l</w:t>
      </w:r>
      <w:r>
        <w:rPr>
          <w:rFonts w:ascii="Arial" w:eastAsia="Times New Roman" w:hAnsi="Arial" w:cs="Arial"/>
          <w:sz w:val="20"/>
          <w:szCs w:val="20"/>
        </w:rPr>
        <w:t>d</w:t>
      </w:r>
      <w:r>
        <w:rPr>
          <w:rFonts w:ascii="Arial" w:eastAsia="Times New Roman" w:hAnsi="Arial" w:cs="Arial"/>
          <w:spacing w:val="-1"/>
          <w:sz w:val="20"/>
          <w:szCs w:val="20"/>
        </w:rPr>
        <w:t>er</w:t>
      </w:r>
      <w:r>
        <w:rPr>
          <w:rFonts w:ascii="Arial" w:eastAsia="Times New Roman" w:hAnsi="Arial" w:cs="Arial"/>
          <w:spacing w:val="3"/>
          <w:sz w:val="20"/>
          <w:szCs w:val="20"/>
        </w:rPr>
        <w:t>b</w:t>
      </w:r>
      <w:r>
        <w:rPr>
          <w:rFonts w:ascii="Arial" w:eastAsia="Times New Roman" w:hAnsi="Arial" w:cs="Arial"/>
          <w:spacing w:val="-1"/>
          <w:sz w:val="20"/>
          <w:szCs w:val="20"/>
        </w:rPr>
        <w:t>e</w:t>
      </w:r>
      <w:r>
        <w:rPr>
          <w:rFonts w:ascii="Arial" w:eastAsia="Times New Roman" w:hAnsi="Arial" w:cs="Arial"/>
          <w:spacing w:val="2"/>
          <w:sz w:val="20"/>
          <w:szCs w:val="20"/>
        </w:rPr>
        <w:t>r</w:t>
      </w:r>
      <w:r>
        <w:rPr>
          <w:rFonts w:ascii="Arial" w:eastAsia="Times New Roman" w:hAnsi="Arial" w:cs="Arial"/>
          <w:sz w:val="20"/>
          <w:szCs w:val="20"/>
        </w:rPr>
        <w:t>g</w:t>
      </w:r>
      <w:proofErr w:type="spellEnd"/>
      <w:r>
        <w:rPr>
          <w:rFonts w:ascii="Arial" w:eastAsia="Times New Roman" w:hAnsi="Arial" w:cs="Arial"/>
          <w:sz w:val="20"/>
          <w:szCs w:val="20"/>
        </w:rPr>
        <w:t xml:space="preserve"> </w:t>
      </w:r>
      <w:r>
        <w:rPr>
          <w:rFonts w:ascii="Arial" w:eastAsia="Times New Roman" w:hAnsi="Arial" w:cs="Arial"/>
          <w:spacing w:val="-3"/>
          <w:sz w:val="20"/>
          <w:szCs w:val="20"/>
        </w:rPr>
        <w:t>I</w:t>
      </w:r>
      <w:r>
        <w:rPr>
          <w:rFonts w:ascii="Arial" w:eastAsia="Times New Roman" w:hAnsi="Arial" w:cs="Arial"/>
          <w:spacing w:val="3"/>
          <w:sz w:val="20"/>
          <w:szCs w:val="20"/>
        </w:rPr>
        <w:t>n</w:t>
      </w:r>
      <w:r>
        <w:rPr>
          <w:rFonts w:ascii="Arial" w:eastAsia="Times New Roman" w:hAnsi="Arial" w:cs="Arial"/>
          <w:spacing w:val="-1"/>
          <w:sz w:val="20"/>
          <w:szCs w:val="20"/>
        </w:rPr>
        <w:t>c</w:t>
      </w:r>
      <w:r>
        <w:rPr>
          <w:rFonts w:ascii="Arial" w:eastAsia="Times New Roman" w:hAnsi="Arial" w:cs="Arial"/>
          <w:sz w:val="20"/>
          <w:szCs w:val="20"/>
        </w:rPr>
        <w:t>, Germany.</w:t>
      </w:r>
      <w:r>
        <w:rPr>
          <w:rFonts w:ascii="Arial" w:hAnsi="Arial" w:cs="Arial"/>
          <w:sz w:val="20"/>
          <w:szCs w:val="20"/>
        </w:rPr>
        <w:t xml:space="preserve"> </w:t>
      </w:r>
    </w:p>
    <w:p w:rsidR="00CD528E" w:rsidRDefault="00CD528E" w:rsidP="00CD528E">
      <w:pPr>
        <w:pStyle w:val="IJASEITReferenceItem"/>
        <w:spacing w:line="360" w:lineRule="auto"/>
        <w:ind w:left="432" w:hanging="432"/>
        <w:rPr>
          <w:rFonts w:ascii="Arial" w:hAnsi="Arial" w:cs="Arial"/>
          <w:color w:val="FF0000"/>
          <w:sz w:val="20"/>
          <w:szCs w:val="20"/>
        </w:rPr>
      </w:pPr>
      <w:r>
        <w:rPr>
          <w:rFonts w:ascii="Arial" w:hAnsi="Arial" w:cs="Arial"/>
          <w:sz w:val="20"/>
          <w:szCs w:val="20"/>
        </w:rPr>
        <w:t>Hartz, T.K., Mitchell, J.P. &amp; Giannini, C. (2000). Nitrogen and carbon mineralization dynamics of manures and composts.</w:t>
      </w:r>
      <w:r>
        <w:rPr>
          <w:rFonts w:ascii="Arial" w:hAnsi="Arial" w:cs="Arial"/>
          <w:color w:val="FF0000"/>
          <w:sz w:val="20"/>
          <w:szCs w:val="20"/>
        </w:rPr>
        <w:t xml:space="preserve"> </w:t>
      </w:r>
      <w:proofErr w:type="spellStart"/>
      <w:r>
        <w:rPr>
          <w:rFonts w:ascii="Arial" w:hAnsi="Arial" w:cs="Arial"/>
          <w:i/>
          <w:sz w:val="20"/>
          <w:szCs w:val="20"/>
        </w:rPr>
        <w:t>HortScience</w:t>
      </w:r>
      <w:proofErr w:type="spellEnd"/>
      <w:r>
        <w:rPr>
          <w:rFonts w:ascii="Arial" w:hAnsi="Arial" w:cs="Arial"/>
          <w:i/>
          <w:sz w:val="20"/>
          <w:szCs w:val="20"/>
        </w:rPr>
        <w:t>. 35:209</w:t>
      </w:r>
      <w:r>
        <w:rPr>
          <w:rFonts w:ascii="Arial" w:hAnsi="Arial" w:cs="Arial"/>
          <w:color w:val="000000"/>
          <w:sz w:val="20"/>
          <w:szCs w:val="20"/>
        </w:rPr>
        <w:t>–</w:t>
      </w:r>
      <w:r>
        <w:rPr>
          <w:rFonts w:ascii="Arial" w:hAnsi="Arial" w:cs="Arial"/>
          <w:i/>
          <w:sz w:val="20"/>
          <w:szCs w:val="20"/>
        </w:rPr>
        <w:t>212.</w:t>
      </w:r>
      <w:r>
        <w:rPr>
          <w:rFonts w:ascii="Arial" w:hAnsi="Arial" w:cs="Arial"/>
          <w:color w:val="FF0000"/>
          <w:sz w:val="20"/>
          <w:szCs w:val="20"/>
        </w:rPr>
        <w:t xml:space="preserve"> </w:t>
      </w:r>
    </w:p>
    <w:p w:rsidR="00CD528E" w:rsidRDefault="00CD528E" w:rsidP="00CD528E">
      <w:pPr>
        <w:pStyle w:val="IJASEITReferenceItem"/>
        <w:spacing w:line="360" w:lineRule="auto"/>
        <w:ind w:left="432" w:hanging="432"/>
        <w:rPr>
          <w:rFonts w:ascii="Arial" w:hAnsi="Arial" w:cs="Arial"/>
          <w:i/>
          <w:sz w:val="20"/>
          <w:szCs w:val="20"/>
        </w:rPr>
      </w:pPr>
      <w:proofErr w:type="spellStart"/>
      <w:r>
        <w:rPr>
          <w:rFonts w:ascii="Arial" w:hAnsi="Arial" w:cs="Arial"/>
          <w:sz w:val="20"/>
          <w:szCs w:val="20"/>
        </w:rPr>
        <w:lastRenderedPageBreak/>
        <w:t>Haytova</w:t>
      </w:r>
      <w:proofErr w:type="spellEnd"/>
      <w:r>
        <w:rPr>
          <w:rFonts w:ascii="Arial" w:hAnsi="Arial" w:cs="Arial"/>
          <w:sz w:val="20"/>
          <w:szCs w:val="20"/>
        </w:rPr>
        <w:t xml:space="preserve">, D. (2013).  A review of foliar fertilization of some vegetable crops. </w:t>
      </w:r>
      <w:proofErr w:type="spellStart"/>
      <w:r>
        <w:rPr>
          <w:rFonts w:ascii="Arial" w:hAnsi="Arial" w:cs="Arial"/>
          <w:i/>
          <w:sz w:val="20"/>
          <w:szCs w:val="20"/>
        </w:rPr>
        <w:t>Annu</w:t>
      </w:r>
      <w:proofErr w:type="spellEnd"/>
      <w:r>
        <w:rPr>
          <w:rFonts w:ascii="Arial" w:hAnsi="Arial" w:cs="Arial"/>
          <w:i/>
          <w:sz w:val="20"/>
          <w:szCs w:val="20"/>
        </w:rPr>
        <w:t xml:space="preserve">. Rev. &amp; Res. Biol. 3:455-465. </w:t>
      </w:r>
    </w:p>
    <w:p w:rsidR="00CD528E" w:rsidRDefault="00CD528E" w:rsidP="00CD528E">
      <w:pPr>
        <w:pStyle w:val="IJASEITReferenceItem"/>
        <w:spacing w:line="360" w:lineRule="auto"/>
        <w:ind w:left="432" w:hanging="432"/>
        <w:rPr>
          <w:rFonts w:ascii="Arial" w:hAnsi="Arial" w:cs="Arial"/>
          <w:sz w:val="20"/>
          <w:szCs w:val="20"/>
        </w:rPr>
      </w:pPr>
      <w:r>
        <w:rPr>
          <w:rFonts w:ascii="Arial" w:hAnsi="Arial" w:cs="Arial"/>
          <w:sz w:val="20"/>
          <w:szCs w:val="20"/>
        </w:rPr>
        <w:t xml:space="preserve">Holloway, P.J. &amp; Stock, D. (1990). Factors affecting the activation of foliar uptake of agrochemicals by surfactants. </w:t>
      </w:r>
      <w:r>
        <w:rPr>
          <w:rFonts w:ascii="Arial" w:hAnsi="Arial" w:cs="Arial"/>
          <w:i/>
          <w:sz w:val="20"/>
          <w:szCs w:val="20"/>
        </w:rPr>
        <w:t>In</w:t>
      </w:r>
      <w:r>
        <w:rPr>
          <w:rFonts w:ascii="Arial" w:hAnsi="Arial" w:cs="Arial"/>
          <w:sz w:val="20"/>
          <w:szCs w:val="20"/>
        </w:rPr>
        <w:t xml:space="preserve">: D.S. </w:t>
      </w:r>
      <w:proofErr w:type="spellStart"/>
      <w:r>
        <w:rPr>
          <w:rFonts w:ascii="Arial" w:hAnsi="Arial" w:cs="Arial"/>
          <w:sz w:val="20"/>
          <w:szCs w:val="20"/>
        </w:rPr>
        <w:t>Karsa</w:t>
      </w:r>
      <w:proofErr w:type="spellEnd"/>
      <w:r>
        <w:rPr>
          <w:rFonts w:ascii="Arial" w:hAnsi="Arial" w:cs="Arial"/>
          <w:sz w:val="20"/>
          <w:szCs w:val="20"/>
        </w:rPr>
        <w:t xml:space="preserve"> (ed.), Industrial application of surfactants II. London, Royal Society of Chemistry. </w:t>
      </w:r>
      <w:r>
        <w:rPr>
          <w:rFonts w:ascii="Arial" w:hAnsi="Arial" w:cs="Arial"/>
          <w:i/>
          <w:sz w:val="20"/>
          <w:szCs w:val="20"/>
        </w:rPr>
        <w:t>Special Publication. 77. pp. 303</w:t>
      </w:r>
      <w:r>
        <w:rPr>
          <w:rFonts w:ascii="Arial" w:hAnsi="Arial" w:cs="Arial"/>
          <w:color w:val="000000"/>
          <w:sz w:val="20"/>
          <w:szCs w:val="20"/>
        </w:rPr>
        <w:t>–</w:t>
      </w:r>
      <w:r>
        <w:rPr>
          <w:rFonts w:ascii="Arial" w:hAnsi="Arial" w:cs="Arial"/>
          <w:i/>
          <w:sz w:val="20"/>
          <w:szCs w:val="20"/>
        </w:rPr>
        <w:t>337</w:t>
      </w:r>
      <w:r>
        <w:rPr>
          <w:rFonts w:ascii="Arial" w:hAnsi="Arial" w:cs="Arial"/>
          <w:sz w:val="20"/>
          <w:szCs w:val="20"/>
        </w:rPr>
        <w:t xml:space="preserve">. </w:t>
      </w:r>
    </w:p>
    <w:p w:rsidR="00CD528E" w:rsidRPr="00C1067D" w:rsidRDefault="00CD528E" w:rsidP="00CD528E">
      <w:pPr>
        <w:pStyle w:val="IJASEITReferenceItem"/>
        <w:spacing w:line="360" w:lineRule="auto"/>
        <w:ind w:left="432" w:hanging="432"/>
        <w:rPr>
          <w:rStyle w:val="HTMLCite"/>
          <w:rFonts w:ascii="Arial" w:hAnsi="Arial" w:cs="Arial"/>
          <w:b/>
          <w:bCs/>
          <w:i w:val="0"/>
          <w:sz w:val="20"/>
          <w:szCs w:val="20"/>
        </w:rPr>
      </w:pPr>
      <w:r>
        <w:rPr>
          <w:rFonts w:ascii="Arial" w:eastAsia="Times New Roman" w:hAnsi="Arial" w:cs="Arial"/>
          <w:iCs/>
          <w:sz w:val="20"/>
          <w:szCs w:val="20"/>
          <w:lang w:eastAsia="id-ID"/>
        </w:rPr>
        <w:t>Jackson, T.L., Brinton, W., Handley, D.T., Hutchinson, M. &amp; Hutton, M. (</w:t>
      </w:r>
      <w:r>
        <w:rPr>
          <w:rFonts w:ascii="Arial" w:eastAsia="Times New Roman" w:hAnsi="Arial" w:cs="Arial"/>
          <w:bCs/>
          <w:sz w:val="20"/>
          <w:szCs w:val="20"/>
          <w:lang w:eastAsia="id-ID"/>
        </w:rPr>
        <w:t xml:space="preserve">2013).  Residual effects of compost applied to sweet corn over two crop seasons. </w:t>
      </w:r>
      <w:r w:rsidRPr="00C1067D">
        <w:rPr>
          <w:rFonts w:ascii="Arial" w:eastAsia="Times New Roman" w:hAnsi="Arial" w:cs="Arial"/>
          <w:bCs/>
          <w:i/>
          <w:sz w:val="20"/>
          <w:szCs w:val="20"/>
          <w:lang w:eastAsia="id-ID"/>
        </w:rPr>
        <w:t>Journal of the NACAA</w:t>
      </w:r>
      <w:r w:rsidRPr="00C1067D">
        <w:rPr>
          <w:rStyle w:val="a"/>
          <w:rFonts w:ascii="Arial" w:hAnsi="Arial" w:cs="Arial"/>
          <w:i/>
          <w:spacing w:val="9"/>
          <w:sz w:val="20"/>
          <w:szCs w:val="20"/>
        </w:rPr>
        <w:t xml:space="preserve"> (National Association of County Agricultural Agents)</w:t>
      </w:r>
      <w:r w:rsidRPr="00C1067D">
        <w:rPr>
          <w:rFonts w:ascii="Arial" w:eastAsia="Times New Roman" w:hAnsi="Arial" w:cs="Arial"/>
          <w:bCs/>
          <w:i/>
          <w:sz w:val="20"/>
          <w:szCs w:val="20"/>
          <w:lang w:eastAsia="id-ID"/>
        </w:rPr>
        <w:t xml:space="preserve">. Vol. 6. </w:t>
      </w:r>
      <w:r>
        <w:rPr>
          <w:rFonts w:ascii="Arial" w:eastAsia="Times New Roman" w:hAnsi="Arial" w:cs="Arial"/>
          <w:bCs/>
          <w:i/>
          <w:sz w:val="20"/>
          <w:szCs w:val="20"/>
          <w:lang w:eastAsia="id-ID"/>
        </w:rPr>
        <w:t>Retrieved</w:t>
      </w:r>
      <w:r w:rsidRPr="00C1067D">
        <w:rPr>
          <w:rFonts w:ascii="Arial" w:eastAsia="Times New Roman" w:hAnsi="Arial" w:cs="Arial"/>
          <w:bCs/>
          <w:i/>
          <w:sz w:val="20"/>
          <w:szCs w:val="20"/>
          <w:lang w:eastAsia="id-ID"/>
        </w:rPr>
        <w:t xml:space="preserve"> from </w:t>
      </w:r>
      <w:hyperlink r:id="rId4">
        <w:r w:rsidRPr="00C1067D">
          <w:rPr>
            <w:rStyle w:val="InternetLink"/>
            <w:rFonts w:ascii="Arial" w:hAnsi="Arial" w:cs="Arial"/>
            <w:bCs/>
            <w:i/>
            <w:sz w:val="20"/>
            <w:szCs w:val="20"/>
          </w:rPr>
          <w:t>www</w:t>
        </w:r>
        <w:r w:rsidRPr="00C1067D">
          <w:rPr>
            <w:rStyle w:val="InternetLink"/>
            <w:rFonts w:ascii="Arial" w:hAnsi="Arial" w:cs="Arial"/>
            <w:i/>
            <w:sz w:val="20"/>
            <w:szCs w:val="20"/>
          </w:rPr>
          <w:t>.nacaa.com/journal/index.php?jid=</w:t>
        </w:r>
        <w:r w:rsidRPr="00C1067D">
          <w:rPr>
            <w:rStyle w:val="InternetLink"/>
            <w:rFonts w:ascii="Arial" w:hAnsi="Arial" w:cs="Arial"/>
            <w:bCs/>
            <w:i/>
            <w:sz w:val="20"/>
            <w:szCs w:val="20"/>
          </w:rPr>
          <w:t>222</w:t>
        </w:r>
      </w:hyperlink>
      <w:r w:rsidRPr="00C1067D">
        <w:rPr>
          <w:rStyle w:val="HTMLCite"/>
          <w:rFonts w:ascii="Arial" w:hAnsi="Arial" w:cs="Arial"/>
          <w:bCs/>
          <w:sz w:val="20"/>
          <w:szCs w:val="20"/>
        </w:rPr>
        <w:t xml:space="preserve">  </w:t>
      </w:r>
    </w:p>
    <w:p w:rsidR="00CD528E" w:rsidRDefault="00CD528E" w:rsidP="00CD528E">
      <w:pPr>
        <w:pStyle w:val="IJASEITReferenceItem"/>
        <w:spacing w:line="360" w:lineRule="auto"/>
        <w:ind w:left="432" w:hanging="432"/>
        <w:jc w:val="left"/>
        <w:rPr>
          <w:rFonts w:ascii="Arial" w:hAnsi="Arial" w:cs="Arial"/>
          <w:i/>
          <w:sz w:val="20"/>
          <w:szCs w:val="20"/>
        </w:rPr>
      </w:pPr>
      <w:r>
        <w:rPr>
          <w:rFonts w:ascii="Arial" w:hAnsi="Arial" w:cs="Arial"/>
          <w:sz w:val="20"/>
          <w:szCs w:val="20"/>
        </w:rPr>
        <w:t xml:space="preserve">Jama, B.C.A., </w:t>
      </w:r>
      <w:proofErr w:type="spellStart"/>
      <w:proofErr w:type="gramStart"/>
      <w:r>
        <w:rPr>
          <w:rFonts w:ascii="Arial" w:hAnsi="Arial" w:cs="Arial"/>
          <w:sz w:val="20"/>
          <w:szCs w:val="20"/>
        </w:rPr>
        <w:t>Buresh</w:t>
      </w:r>
      <w:proofErr w:type="spellEnd"/>
      <w:r>
        <w:rPr>
          <w:rFonts w:ascii="Arial" w:hAnsi="Arial" w:cs="Arial"/>
          <w:sz w:val="20"/>
          <w:szCs w:val="20"/>
        </w:rPr>
        <w:t>,  R.J.</w:t>
      </w:r>
      <w:proofErr w:type="gramEnd"/>
      <w:r>
        <w:rPr>
          <w:rFonts w:ascii="Arial" w:hAnsi="Arial" w:cs="Arial"/>
          <w:sz w:val="20"/>
          <w:szCs w:val="20"/>
        </w:rPr>
        <w:t xml:space="preserve">,  </w:t>
      </w:r>
      <w:proofErr w:type="spellStart"/>
      <w:r>
        <w:rPr>
          <w:rFonts w:ascii="Arial" w:hAnsi="Arial" w:cs="Arial"/>
          <w:sz w:val="20"/>
          <w:szCs w:val="20"/>
        </w:rPr>
        <w:t>Niamg</w:t>
      </w:r>
      <w:proofErr w:type="spellEnd"/>
      <w:r>
        <w:rPr>
          <w:rFonts w:ascii="Arial" w:hAnsi="Arial" w:cs="Arial"/>
          <w:sz w:val="20"/>
          <w:szCs w:val="20"/>
        </w:rPr>
        <w:t xml:space="preserve">, A.,  </w:t>
      </w:r>
      <w:proofErr w:type="spellStart"/>
      <w:r>
        <w:rPr>
          <w:rFonts w:ascii="Arial" w:hAnsi="Arial" w:cs="Arial"/>
          <w:sz w:val="20"/>
          <w:szCs w:val="20"/>
        </w:rPr>
        <w:t>Gachenco</w:t>
      </w:r>
      <w:proofErr w:type="spellEnd"/>
      <w:r>
        <w:rPr>
          <w:rFonts w:ascii="Arial" w:hAnsi="Arial" w:cs="Arial"/>
          <w:sz w:val="20"/>
          <w:szCs w:val="20"/>
        </w:rPr>
        <w:t xml:space="preserve">, C.N.,  </w:t>
      </w:r>
      <w:proofErr w:type="spellStart"/>
      <w:r>
        <w:rPr>
          <w:rFonts w:ascii="Arial" w:hAnsi="Arial" w:cs="Arial"/>
          <w:sz w:val="20"/>
          <w:szCs w:val="20"/>
        </w:rPr>
        <w:t>Nziguheba</w:t>
      </w:r>
      <w:proofErr w:type="spellEnd"/>
      <w:r>
        <w:rPr>
          <w:rFonts w:ascii="Arial" w:hAnsi="Arial" w:cs="Arial"/>
          <w:sz w:val="20"/>
          <w:szCs w:val="20"/>
        </w:rPr>
        <w:t xml:space="preserve">, G. &amp; </w:t>
      </w:r>
      <w:proofErr w:type="spellStart"/>
      <w:r>
        <w:rPr>
          <w:rFonts w:ascii="Arial" w:hAnsi="Arial" w:cs="Arial"/>
          <w:sz w:val="20"/>
          <w:szCs w:val="20"/>
        </w:rPr>
        <w:t>Amadalo</w:t>
      </w:r>
      <w:proofErr w:type="spellEnd"/>
      <w:r>
        <w:rPr>
          <w:rFonts w:ascii="Arial" w:hAnsi="Arial" w:cs="Arial"/>
          <w:sz w:val="20"/>
          <w:szCs w:val="20"/>
        </w:rPr>
        <w:t xml:space="preserve">, B. (2000). </w:t>
      </w:r>
      <w:proofErr w:type="spellStart"/>
      <w:r>
        <w:rPr>
          <w:rFonts w:ascii="Arial" w:hAnsi="Arial" w:cs="Arial"/>
          <w:i/>
          <w:iCs/>
          <w:sz w:val="20"/>
          <w:szCs w:val="20"/>
        </w:rPr>
        <w:t>Tithonia</w:t>
      </w:r>
      <w:proofErr w:type="spellEnd"/>
      <w:r>
        <w:rPr>
          <w:rFonts w:ascii="Arial" w:hAnsi="Arial" w:cs="Arial"/>
          <w:sz w:val="20"/>
          <w:szCs w:val="20"/>
        </w:rPr>
        <w:t xml:space="preserve"> </w:t>
      </w:r>
      <w:proofErr w:type="spellStart"/>
      <w:r>
        <w:rPr>
          <w:rFonts w:ascii="Arial" w:hAnsi="Arial" w:cs="Arial"/>
          <w:i/>
          <w:sz w:val="20"/>
          <w:szCs w:val="20"/>
        </w:rPr>
        <w:t>diversifolia</w:t>
      </w:r>
      <w:proofErr w:type="spellEnd"/>
      <w:r>
        <w:rPr>
          <w:rFonts w:ascii="Arial" w:hAnsi="Arial" w:cs="Arial"/>
          <w:sz w:val="20"/>
          <w:szCs w:val="20"/>
        </w:rPr>
        <w:t xml:space="preserve"> as green manure for soil fertility improvement in Western Kenya. </w:t>
      </w:r>
      <w:r>
        <w:rPr>
          <w:rFonts w:ascii="Arial" w:hAnsi="Arial" w:cs="Arial"/>
          <w:i/>
          <w:sz w:val="20"/>
          <w:szCs w:val="20"/>
        </w:rPr>
        <w:t>A Rev. Agroforest. Sys., 49: 201</w:t>
      </w:r>
      <w:r>
        <w:rPr>
          <w:rFonts w:ascii="Arial" w:hAnsi="Arial" w:cs="Arial"/>
          <w:color w:val="000000"/>
          <w:sz w:val="20"/>
          <w:szCs w:val="20"/>
        </w:rPr>
        <w:t>–</w:t>
      </w:r>
      <w:r>
        <w:rPr>
          <w:rFonts w:ascii="Arial" w:hAnsi="Arial" w:cs="Arial"/>
          <w:i/>
          <w:sz w:val="20"/>
          <w:szCs w:val="20"/>
        </w:rPr>
        <w:t xml:space="preserve">221.  </w:t>
      </w:r>
    </w:p>
    <w:p w:rsidR="00CD528E" w:rsidRDefault="00CD528E" w:rsidP="00CD528E">
      <w:pPr>
        <w:spacing w:after="0" w:line="360" w:lineRule="auto"/>
        <w:ind w:left="426" w:hanging="426"/>
        <w:contextualSpacing/>
        <w:jc w:val="both"/>
        <w:rPr>
          <w:rFonts w:ascii="Arial" w:hAnsi="Arial" w:cs="Arial"/>
          <w:sz w:val="20"/>
          <w:szCs w:val="20"/>
        </w:rPr>
      </w:pPr>
      <w:r>
        <w:rPr>
          <w:rFonts w:ascii="Arial" w:hAnsi="Arial" w:cs="Arial"/>
          <w:sz w:val="20"/>
          <w:szCs w:val="20"/>
        </w:rPr>
        <w:t xml:space="preserve">Kannan, S. (2010).  Foliar fertilization for sustainable crop production.  </w:t>
      </w:r>
      <w:r>
        <w:rPr>
          <w:rFonts w:ascii="Arial" w:hAnsi="Arial" w:cs="Arial"/>
          <w:i/>
          <w:sz w:val="20"/>
          <w:szCs w:val="20"/>
        </w:rPr>
        <w:t>Sustain. Agric. Rev</w:t>
      </w:r>
      <w:r>
        <w:rPr>
          <w:rFonts w:ascii="Arial" w:hAnsi="Arial" w:cs="Arial"/>
          <w:sz w:val="20"/>
          <w:szCs w:val="20"/>
        </w:rPr>
        <w:t>. 4:371</w:t>
      </w:r>
      <w:r>
        <w:rPr>
          <w:rFonts w:ascii="Arial" w:hAnsi="Arial" w:cs="Arial"/>
          <w:color w:val="000000"/>
          <w:sz w:val="20"/>
          <w:szCs w:val="20"/>
        </w:rPr>
        <w:t>–</w:t>
      </w:r>
      <w:r>
        <w:rPr>
          <w:rFonts w:ascii="Arial" w:hAnsi="Arial" w:cs="Arial"/>
          <w:sz w:val="20"/>
          <w:szCs w:val="20"/>
        </w:rPr>
        <w:t xml:space="preserve">402. </w:t>
      </w:r>
    </w:p>
    <w:p w:rsidR="00CD528E" w:rsidRDefault="00CD528E" w:rsidP="00CD528E">
      <w:pPr>
        <w:spacing w:after="0" w:line="360" w:lineRule="auto"/>
        <w:ind w:left="426" w:hanging="426"/>
        <w:contextualSpacing/>
        <w:jc w:val="both"/>
        <w:rPr>
          <w:rFonts w:ascii="Arial" w:hAnsi="Arial" w:cs="Arial"/>
          <w:sz w:val="20"/>
          <w:szCs w:val="20"/>
        </w:rPr>
      </w:pPr>
      <w:r>
        <w:rPr>
          <w:rFonts w:ascii="Arial" w:hAnsi="Arial" w:cs="Arial"/>
          <w:bCs/>
          <w:color w:val="000000"/>
          <w:sz w:val="20"/>
          <w:szCs w:val="20"/>
        </w:rPr>
        <w:t xml:space="preserve">Khan, P., </w:t>
      </w:r>
      <w:proofErr w:type="spellStart"/>
      <w:r>
        <w:rPr>
          <w:rFonts w:ascii="Arial" w:hAnsi="Arial" w:cs="Arial"/>
          <w:bCs/>
          <w:color w:val="000000"/>
          <w:sz w:val="20"/>
          <w:szCs w:val="20"/>
        </w:rPr>
        <w:t>Memon</w:t>
      </w:r>
      <w:proofErr w:type="spellEnd"/>
      <w:r>
        <w:rPr>
          <w:rFonts w:ascii="Arial" w:hAnsi="Arial" w:cs="Arial"/>
          <w:bCs/>
          <w:color w:val="000000"/>
          <w:sz w:val="20"/>
          <w:szCs w:val="20"/>
        </w:rPr>
        <w:t xml:space="preserve">, M.Y. &amp; Aslam, M.  (2009).  Response of wheat to foliar and soil application of urea at different growth stages. </w:t>
      </w:r>
      <w:r>
        <w:rPr>
          <w:rFonts w:ascii="Arial" w:hAnsi="Arial" w:cs="Arial"/>
          <w:bCs/>
          <w:i/>
          <w:iCs/>
          <w:color w:val="000000"/>
          <w:sz w:val="20"/>
          <w:szCs w:val="20"/>
        </w:rPr>
        <w:t>Pak. J. Bot</w:t>
      </w:r>
      <w:r>
        <w:rPr>
          <w:rFonts w:ascii="Arial" w:hAnsi="Arial" w:cs="Arial"/>
          <w:bCs/>
          <w:i/>
          <w:color w:val="000000"/>
          <w:sz w:val="20"/>
          <w:szCs w:val="20"/>
        </w:rPr>
        <w:t>., 41:1197</w:t>
      </w:r>
      <w:r>
        <w:rPr>
          <w:rFonts w:ascii="Arial" w:hAnsi="Arial" w:cs="Arial"/>
          <w:color w:val="000000"/>
          <w:sz w:val="20"/>
          <w:szCs w:val="20"/>
        </w:rPr>
        <w:t>–</w:t>
      </w:r>
      <w:r>
        <w:rPr>
          <w:rFonts w:ascii="Arial" w:hAnsi="Arial" w:cs="Arial"/>
          <w:bCs/>
          <w:i/>
          <w:color w:val="000000"/>
          <w:sz w:val="20"/>
          <w:szCs w:val="20"/>
        </w:rPr>
        <w:t>1204</w:t>
      </w:r>
      <w:r>
        <w:rPr>
          <w:rFonts w:ascii="Arial" w:hAnsi="Arial" w:cs="Arial"/>
          <w:bCs/>
          <w:color w:val="000000"/>
          <w:sz w:val="20"/>
          <w:szCs w:val="20"/>
        </w:rPr>
        <w:t>.</w:t>
      </w:r>
    </w:p>
    <w:p w:rsidR="00CD528E" w:rsidRDefault="00CD528E" w:rsidP="00CD528E">
      <w:pPr>
        <w:pStyle w:val="IJASEITReferenceItem"/>
        <w:spacing w:line="360" w:lineRule="auto"/>
        <w:ind w:left="432" w:hanging="432"/>
        <w:rPr>
          <w:rFonts w:ascii="Arial" w:hAnsi="Arial" w:cs="Arial"/>
          <w:bCs/>
          <w:i/>
          <w:iCs/>
          <w:sz w:val="20"/>
          <w:szCs w:val="20"/>
        </w:rPr>
      </w:pPr>
      <w:proofErr w:type="spellStart"/>
      <w:r>
        <w:rPr>
          <w:rFonts w:ascii="Arial" w:hAnsi="Arial" w:cs="Arial"/>
          <w:bCs/>
          <w:sz w:val="20"/>
          <w:szCs w:val="20"/>
        </w:rPr>
        <w:t>Kostova</w:t>
      </w:r>
      <w:proofErr w:type="spellEnd"/>
      <w:r>
        <w:rPr>
          <w:rFonts w:ascii="Arial" w:hAnsi="Arial" w:cs="Arial"/>
          <w:bCs/>
          <w:sz w:val="20"/>
          <w:szCs w:val="20"/>
        </w:rPr>
        <w:t xml:space="preserve">, D., </w:t>
      </w:r>
      <w:proofErr w:type="spellStart"/>
      <w:r>
        <w:rPr>
          <w:rFonts w:ascii="Arial" w:hAnsi="Arial" w:cs="Arial"/>
          <w:bCs/>
          <w:sz w:val="20"/>
          <w:szCs w:val="20"/>
        </w:rPr>
        <w:t>Haytoya</w:t>
      </w:r>
      <w:proofErr w:type="spellEnd"/>
      <w:r>
        <w:rPr>
          <w:rFonts w:ascii="Arial" w:hAnsi="Arial" w:cs="Arial"/>
          <w:bCs/>
          <w:sz w:val="20"/>
          <w:szCs w:val="20"/>
        </w:rPr>
        <w:t xml:space="preserve">, D. &amp; </w:t>
      </w:r>
      <w:proofErr w:type="spellStart"/>
      <w:r>
        <w:rPr>
          <w:rFonts w:ascii="Arial" w:hAnsi="Arial" w:cs="Arial"/>
          <w:bCs/>
          <w:sz w:val="20"/>
          <w:szCs w:val="20"/>
        </w:rPr>
        <w:t>Mechandjiev</w:t>
      </w:r>
      <w:proofErr w:type="spellEnd"/>
      <w:r>
        <w:rPr>
          <w:rFonts w:ascii="Arial" w:hAnsi="Arial" w:cs="Arial"/>
          <w:bCs/>
          <w:sz w:val="20"/>
          <w:szCs w:val="20"/>
        </w:rPr>
        <w:t xml:space="preserve"> D. (2014). Effect of type and method of fertilization on marrows (</w:t>
      </w:r>
      <w:r>
        <w:rPr>
          <w:rFonts w:ascii="Arial" w:hAnsi="Arial" w:cs="Arial"/>
          <w:bCs/>
          <w:i/>
          <w:sz w:val="20"/>
          <w:szCs w:val="20"/>
        </w:rPr>
        <w:t>Cucurbita pepo</w:t>
      </w:r>
      <w:r>
        <w:rPr>
          <w:rFonts w:ascii="Arial" w:hAnsi="Arial" w:cs="Arial"/>
          <w:bCs/>
          <w:sz w:val="20"/>
          <w:szCs w:val="20"/>
        </w:rPr>
        <w:t xml:space="preserve"> L.) yield and fruit quality</w:t>
      </w:r>
      <w:r>
        <w:rPr>
          <w:rFonts w:ascii="Arial" w:hAnsi="Arial" w:cs="Arial"/>
          <w:sz w:val="20"/>
          <w:szCs w:val="20"/>
        </w:rPr>
        <w:t xml:space="preserve">. </w:t>
      </w:r>
      <w:r>
        <w:rPr>
          <w:rFonts w:ascii="Arial" w:hAnsi="Arial" w:cs="Arial"/>
          <w:bCs/>
          <w:i/>
          <w:iCs/>
          <w:sz w:val="20"/>
          <w:szCs w:val="20"/>
        </w:rPr>
        <w:t>Am. J. Exp. Agric. 4:376</w:t>
      </w:r>
      <w:r>
        <w:rPr>
          <w:rFonts w:ascii="Arial" w:hAnsi="Arial" w:cs="Arial"/>
          <w:color w:val="000000"/>
          <w:sz w:val="20"/>
          <w:szCs w:val="20"/>
        </w:rPr>
        <w:t>–</w:t>
      </w:r>
      <w:r>
        <w:rPr>
          <w:rFonts w:ascii="Arial" w:hAnsi="Arial" w:cs="Arial"/>
          <w:bCs/>
          <w:i/>
          <w:iCs/>
          <w:sz w:val="20"/>
          <w:szCs w:val="20"/>
        </w:rPr>
        <w:t>383.</w:t>
      </w:r>
    </w:p>
    <w:p w:rsidR="00CD528E" w:rsidRDefault="00CD528E" w:rsidP="00CD528E">
      <w:pPr>
        <w:pStyle w:val="IJASEITReferenceItem"/>
        <w:spacing w:line="360" w:lineRule="auto"/>
        <w:ind w:left="432" w:hanging="432"/>
        <w:rPr>
          <w:rFonts w:ascii="Arial" w:hAnsi="Arial" w:cs="Arial"/>
          <w:i/>
          <w:sz w:val="20"/>
          <w:szCs w:val="20"/>
        </w:rPr>
      </w:pPr>
      <w:r>
        <w:rPr>
          <w:rFonts w:ascii="Arial" w:hAnsi="Arial" w:cs="Arial"/>
          <w:sz w:val="20"/>
          <w:szCs w:val="20"/>
        </w:rPr>
        <w:t xml:space="preserve">Lester, G.E., </w:t>
      </w:r>
      <w:proofErr w:type="spellStart"/>
      <w:r>
        <w:rPr>
          <w:rFonts w:ascii="Arial" w:hAnsi="Arial" w:cs="Arial"/>
          <w:sz w:val="20"/>
          <w:szCs w:val="20"/>
        </w:rPr>
        <w:t>Jifon</w:t>
      </w:r>
      <w:proofErr w:type="spellEnd"/>
      <w:r>
        <w:rPr>
          <w:rFonts w:ascii="Arial" w:hAnsi="Arial" w:cs="Arial"/>
          <w:sz w:val="20"/>
          <w:szCs w:val="20"/>
        </w:rPr>
        <w:t xml:space="preserve">, J.L. &amp; </w:t>
      </w:r>
      <w:proofErr w:type="spellStart"/>
      <w:r>
        <w:rPr>
          <w:rFonts w:ascii="Arial" w:hAnsi="Arial" w:cs="Arial"/>
          <w:sz w:val="20"/>
          <w:szCs w:val="20"/>
        </w:rPr>
        <w:t>Makus</w:t>
      </w:r>
      <w:proofErr w:type="spellEnd"/>
      <w:r>
        <w:rPr>
          <w:rFonts w:ascii="Arial" w:hAnsi="Arial" w:cs="Arial"/>
          <w:sz w:val="20"/>
          <w:szCs w:val="20"/>
        </w:rPr>
        <w:t xml:space="preserve">, D.J. (2006).  Supplemental foliar potassium applications with or without a surfactant can enhance netted muskmelon quality.  </w:t>
      </w:r>
      <w:proofErr w:type="spellStart"/>
      <w:r>
        <w:rPr>
          <w:rFonts w:ascii="Arial" w:hAnsi="Arial" w:cs="Arial"/>
          <w:i/>
          <w:sz w:val="20"/>
          <w:szCs w:val="20"/>
        </w:rPr>
        <w:t>HortScience</w:t>
      </w:r>
      <w:proofErr w:type="spellEnd"/>
      <w:r>
        <w:rPr>
          <w:rFonts w:ascii="Arial" w:hAnsi="Arial" w:cs="Arial"/>
          <w:i/>
          <w:sz w:val="20"/>
          <w:szCs w:val="20"/>
        </w:rPr>
        <w:t>. 41:741</w:t>
      </w:r>
      <w:r>
        <w:rPr>
          <w:rFonts w:ascii="Arial" w:hAnsi="Arial" w:cs="Arial"/>
          <w:color w:val="000000"/>
          <w:sz w:val="20"/>
          <w:szCs w:val="20"/>
        </w:rPr>
        <w:t>–</w:t>
      </w:r>
      <w:r>
        <w:rPr>
          <w:rFonts w:ascii="Arial" w:hAnsi="Arial" w:cs="Arial"/>
          <w:i/>
          <w:sz w:val="20"/>
          <w:szCs w:val="20"/>
        </w:rPr>
        <w:t>744.</w:t>
      </w:r>
    </w:p>
    <w:p w:rsidR="00CD528E" w:rsidRDefault="00CD528E" w:rsidP="00CD528E">
      <w:pPr>
        <w:pStyle w:val="IJASEITReferenceItem"/>
        <w:spacing w:line="360" w:lineRule="auto"/>
        <w:ind w:left="432" w:hanging="432"/>
      </w:pPr>
      <w:proofErr w:type="spellStart"/>
      <w:r>
        <w:rPr>
          <w:rFonts w:ascii="Arial" w:hAnsi="Arial" w:cs="Arial"/>
          <w:bCs/>
          <w:color w:val="000000"/>
          <w:sz w:val="20"/>
          <w:szCs w:val="20"/>
        </w:rPr>
        <w:t>Maswar</w:t>
      </w:r>
      <w:proofErr w:type="spellEnd"/>
      <w:r>
        <w:rPr>
          <w:rFonts w:ascii="Arial" w:hAnsi="Arial" w:cs="Arial"/>
          <w:bCs/>
          <w:color w:val="000000"/>
          <w:sz w:val="20"/>
          <w:szCs w:val="20"/>
        </w:rPr>
        <w:t xml:space="preserve"> &amp; </w:t>
      </w:r>
      <w:proofErr w:type="spellStart"/>
      <w:r>
        <w:rPr>
          <w:rFonts w:ascii="Arial" w:hAnsi="Arial" w:cs="Arial"/>
          <w:bCs/>
          <w:color w:val="000000"/>
          <w:sz w:val="20"/>
          <w:szCs w:val="20"/>
        </w:rPr>
        <w:t>Soelaeman</w:t>
      </w:r>
      <w:proofErr w:type="spellEnd"/>
      <w:r>
        <w:rPr>
          <w:rFonts w:ascii="Arial" w:hAnsi="Arial" w:cs="Arial"/>
          <w:bCs/>
          <w:color w:val="000000"/>
          <w:sz w:val="20"/>
          <w:szCs w:val="20"/>
        </w:rPr>
        <w:t xml:space="preserve">, Y. (2016).  Effects of organic and chemical fertilizer inputs on biomass production and carbon dynamics in a maize farming on </w:t>
      </w:r>
      <w:proofErr w:type="spellStart"/>
      <w:r>
        <w:rPr>
          <w:rFonts w:ascii="Arial" w:hAnsi="Arial" w:cs="Arial"/>
          <w:bCs/>
          <w:color w:val="000000"/>
          <w:sz w:val="20"/>
          <w:szCs w:val="20"/>
        </w:rPr>
        <w:t>ultisols</w:t>
      </w:r>
      <w:proofErr w:type="spellEnd"/>
      <w:r>
        <w:rPr>
          <w:rFonts w:ascii="Arial" w:hAnsi="Arial" w:cs="Arial"/>
          <w:bCs/>
          <w:color w:val="000000"/>
          <w:sz w:val="20"/>
          <w:szCs w:val="20"/>
        </w:rPr>
        <w:t xml:space="preserve">.  </w:t>
      </w:r>
      <w:r>
        <w:rPr>
          <w:rFonts w:ascii="Arial" w:hAnsi="Arial" w:cs="Arial"/>
          <w:i/>
          <w:iCs/>
          <w:color w:val="000000"/>
          <w:sz w:val="20"/>
          <w:szCs w:val="20"/>
        </w:rPr>
        <w:t>AGRIVITA Journal of Agricultural Science. 2016. 38(2): 133-141.</w:t>
      </w:r>
      <w:r>
        <w:rPr>
          <w:rFonts w:ascii="Arial" w:hAnsi="Arial" w:cs="Arial"/>
          <w:b/>
          <w:bCs/>
          <w:i/>
          <w:iCs/>
          <w:color w:val="000000"/>
          <w:sz w:val="20"/>
          <w:szCs w:val="20"/>
        </w:rPr>
        <w:t xml:space="preserve"> </w:t>
      </w:r>
      <w:hyperlink r:id="rId5">
        <w:r>
          <w:rPr>
            <w:rStyle w:val="InternetLink"/>
            <w:rFonts w:ascii="Arial" w:hAnsi="Arial" w:cs="Arial"/>
            <w:bCs/>
            <w:sz w:val="20"/>
            <w:szCs w:val="20"/>
          </w:rPr>
          <w:t>http://dx.doi.org/10.17503/agrivita.v38i2.594</w:t>
        </w:r>
      </w:hyperlink>
    </w:p>
    <w:p w:rsidR="00CD528E" w:rsidRDefault="00CD528E" w:rsidP="00CD528E">
      <w:pPr>
        <w:pStyle w:val="IJASEITReferenceItem"/>
        <w:spacing w:line="360" w:lineRule="auto"/>
        <w:ind w:left="432" w:hanging="432"/>
        <w:rPr>
          <w:rFonts w:ascii="Arial" w:hAnsi="Arial" w:cs="Arial"/>
          <w:bCs/>
          <w:color w:val="000000"/>
          <w:sz w:val="20"/>
          <w:szCs w:val="20"/>
        </w:rPr>
      </w:pPr>
      <w:r>
        <w:rPr>
          <w:rFonts w:ascii="Arial" w:hAnsi="Arial" w:cs="Arial"/>
          <w:sz w:val="20"/>
          <w:szCs w:val="20"/>
        </w:rPr>
        <w:t>McCall, W.W.  (1980).  Foliar application of fertilizers</w:t>
      </w:r>
      <w:r>
        <w:rPr>
          <w:rFonts w:ascii="Arial" w:hAnsi="Arial" w:cs="Arial"/>
          <w:i/>
          <w:sz w:val="20"/>
          <w:szCs w:val="20"/>
        </w:rPr>
        <w:t>. Hawaii Cooperative Extension Service.  College of Tropical Agriculture and Human Resources University of Hawaii. General Home Garden Series No. 24.</w:t>
      </w:r>
      <w:r>
        <w:rPr>
          <w:rFonts w:ascii="Arial" w:hAnsi="Arial" w:cs="Arial"/>
          <w:bCs/>
          <w:color w:val="000000"/>
          <w:sz w:val="20"/>
          <w:szCs w:val="20"/>
        </w:rPr>
        <w:t xml:space="preserve"> </w:t>
      </w:r>
    </w:p>
    <w:p w:rsidR="00CD528E" w:rsidRDefault="00CD528E" w:rsidP="00CD528E">
      <w:pPr>
        <w:pStyle w:val="IJASEITReferenceItem"/>
        <w:spacing w:line="360" w:lineRule="auto"/>
        <w:ind w:left="432" w:hanging="432"/>
      </w:pPr>
      <w:proofErr w:type="spellStart"/>
      <w:r>
        <w:rPr>
          <w:rFonts w:ascii="Arial" w:hAnsi="Arial" w:cs="Arial"/>
          <w:bCs/>
          <w:color w:val="000000"/>
          <w:sz w:val="20"/>
          <w:szCs w:val="20"/>
        </w:rPr>
        <w:t>Mukhlis</w:t>
      </w:r>
      <w:proofErr w:type="spellEnd"/>
      <w:r>
        <w:rPr>
          <w:rFonts w:ascii="Arial" w:hAnsi="Arial" w:cs="Arial"/>
          <w:bCs/>
          <w:color w:val="000000"/>
          <w:sz w:val="20"/>
          <w:szCs w:val="20"/>
        </w:rPr>
        <w:t xml:space="preserve"> &amp; Lestari, Y.  (2013).  Effects of biofertilizer “M-star” on land productivity and growth of Sweet corn in acid </w:t>
      </w:r>
      <w:proofErr w:type="spellStart"/>
      <w:r>
        <w:rPr>
          <w:rFonts w:ascii="Arial" w:hAnsi="Arial" w:cs="Arial"/>
          <w:bCs/>
          <w:color w:val="000000"/>
          <w:sz w:val="20"/>
          <w:szCs w:val="20"/>
        </w:rPr>
        <w:t>sulphate</w:t>
      </w:r>
      <w:proofErr w:type="spellEnd"/>
      <w:r>
        <w:rPr>
          <w:rFonts w:ascii="Arial" w:hAnsi="Arial" w:cs="Arial"/>
          <w:bCs/>
          <w:color w:val="000000"/>
          <w:sz w:val="20"/>
          <w:szCs w:val="20"/>
        </w:rPr>
        <w:t xml:space="preserve"> soil of swampland.  </w:t>
      </w:r>
      <w:r>
        <w:rPr>
          <w:rFonts w:ascii="Arial" w:hAnsi="Arial" w:cs="Arial"/>
          <w:i/>
          <w:iCs/>
          <w:color w:val="000000"/>
          <w:sz w:val="20"/>
          <w:szCs w:val="20"/>
        </w:rPr>
        <w:t xml:space="preserve">AGRIVITA Journal of Agricultural Science. 35(3): 242-248.  </w:t>
      </w:r>
      <w:hyperlink r:id="rId6">
        <w:r>
          <w:rPr>
            <w:rStyle w:val="InternetLink"/>
            <w:rFonts w:ascii="Arial" w:hAnsi="Arial" w:cs="Arial"/>
            <w:bCs/>
            <w:iCs/>
            <w:sz w:val="20"/>
            <w:szCs w:val="20"/>
          </w:rPr>
          <w:t>http://dx.doi.org/10.17503/Agrivita-2013-35-3-p242-248</w:t>
        </w:r>
      </w:hyperlink>
    </w:p>
    <w:p w:rsidR="00CD528E" w:rsidRDefault="00CD528E" w:rsidP="00CD528E">
      <w:pPr>
        <w:spacing w:after="0" w:line="360" w:lineRule="auto"/>
        <w:ind w:left="567" w:hanging="567"/>
        <w:contextualSpacing/>
        <w:rPr>
          <w:rFonts w:ascii="Arial" w:hAnsi="Arial" w:cs="Arial"/>
          <w:sz w:val="20"/>
          <w:szCs w:val="20"/>
        </w:rPr>
      </w:pPr>
      <w:proofErr w:type="spellStart"/>
      <w:r>
        <w:rPr>
          <w:rFonts w:ascii="Arial" w:hAnsi="Arial" w:cs="Arial"/>
          <w:sz w:val="20"/>
          <w:szCs w:val="20"/>
        </w:rPr>
        <w:t>Nziguheba</w:t>
      </w:r>
      <w:proofErr w:type="spellEnd"/>
      <w:r>
        <w:rPr>
          <w:rFonts w:ascii="Arial" w:hAnsi="Arial" w:cs="Arial"/>
          <w:sz w:val="20"/>
          <w:szCs w:val="20"/>
        </w:rPr>
        <w:t xml:space="preserve">, G, R., Merckx, Palm, C.A. &amp; </w:t>
      </w:r>
      <w:proofErr w:type="spellStart"/>
      <w:r>
        <w:rPr>
          <w:rFonts w:ascii="Arial" w:hAnsi="Arial" w:cs="Arial"/>
          <w:sz w:val="20"/>
          <w:szCs w:val="20"/>
        </w:rPr>
        <w:t>Mutuo</w:t>
      </w:r>
      <w:proofErr w:type="spellEnd"/>
      <w:r>
        <w:rPr>
          <w:rFonts w:ascii="Arial" w:hAnsi="Arial" w:cs="Arial"/>
          <w:sz w:val="20"/>
          <w:szCs w:val="20"/>
        </w:rPr>
        <w:t xml:space="preserve">. (2002).  Combining </w:t>
      </w:r>
      <w:proofErr w:type="spellStart"/>
      <w:r>
        <w:rPr>
          <w:rStyle w:val="Emphasis"/>
          <w:rFonts w:ascii="Arial" w:hAnsi="Arial" w:cs="Arial"/>
          <w:sz w:val="20"/>
        </w:rPr>
        <w:t>Tithonia</w:t>
      </w:r>
      <w:proofErr w:type="spellEnd"/>
      <w:r>
        <w:rPr>
          <w:rStyle w:val="Emphasis"/>
          <w:rFonts w:ascii="Arial" w:hAnsi="Arial" w:cs="Arial"/>
          <w:sz w:val="20"/>
        </w:rPr>
        <w:t xml:space="preserve"> </w:t>
      </w:r>
      <w:proofErr w:type="spellStart"/>
      <w:r>
        <w:rPr>
          <w:rStyle w:val="Emphasis"/>
          <w:rFonts w:ascii="Arial" w:hAnsi="Arial" w:cs="Arial"/>
          <w:sz w:val="20"/>
        </w:rPr>
        <w:t>diversifolia</w:t>
      </w:r>
      <w:proofErr w:type="spellEnd"/>
      <w:r>
        <w:rPr>
          <w:rFonts w:ascii="Arial" w:hAnsi="Arial" w:cs="Arial"/>
          <w:sz w:val="20"/>
          <w:szCs w:val="20"/>
        </w:rPr>
        <w:t xml:space="preserve"> and fertilizers for maize production in a phosphorus deficient soil in Kenya.  </w:t>
      </w:r>
      <w:proofErr w:type="spellStart"/>
      <w:r>
        <w:rPr>
          <w:rFonts w:ascii="Arial" w:hAnsi="Arial" w:cs="Arial"/>
          <w:i/>
          <w:sz w:val="20"/>
          <w:szCs w:val="20"/>
        </w:rPr>
        <w:t>Agrofor</w:t>
      </w:r>
      <w:proofErr w:type="spellEnd"/>
      <w:r>
        <w:rPr>
          <w:rFonts w:ascii="Arial" w:hAnsi="Arial" w:cs="Arial"/>
          <w:i/>
          <w:sz w:val="20"/>
          <w:szCs w:val="20"/>
        </w:rPr>
        <w:t>. Syst. 55:165</w:t>
      </w:r>
      <w:r>
        <w:rPr>
          <w:rFonts w:ascii="Arial" w:hAnsi="Arial" w:cs="Arial"/>
          <w:color w:val="000000"/>
          <w:sz w:val="20"/>
          <w:szCs w:val="20"/>
        </w:rPr>
        <w:t>–</w:t>
      </w:r>
      <w:r>
        <w:rPr>
          <w:rFonts w:ascii="Arial" w:hAnsi="Arial" w:cs="Arial"/>
          <w:sz w:val="20"/>
          <w:szCs w:val="20"/>
        </w:rPr>
        <w:t xml:space="preserve">174. </w:t>
      </w:r>
    </w:p>
    <w:p w:rsidR="00CD528E" w:rsidRDefault="00CD528E" w:rsidP="00CD528E">
      <w:pPr>
        <w:spacing w:after="0" w:line="360" w:lineRule="auto"/>
        <w:ind w:left="567" w:hanging="567"/>
        <w:contextualSpacing/>
        <w:jc w:val="both"/>
        <w:rPr>
          <w:rFonts w:ascii="Arial" w:hAnsi="Arial" w:cs="Arial"/>
          <w:i/>
          <w:sz w:val="20"/>
          <w:szCs w:val="20"/>
        </w:rPr>
      </w:pPr>
      <w:proofErr w:type="spellStart"/>
      <w:r>
        <w:rPr>
          <w:rFonts w:ascii="Arial" w:hAnsi="Arial" w:cs="Arial"/>
          <w:iCs/>
          <w:sz w:val="20"/>
          <w:szCs w:val="20"/>
        </w:rPr>
        <w:t>Olabode</w:t>
      </w:r>
      <w:proofErr w:type="spellEnd"/>
      <w:r>
        <w:rPr>
          <w:rFonts w:ascii="Arial" w:hAnsi="Arial" w:cs="Arial"/>
          <w:iCs/>
          <w:sz w:val="20"/>
          <w:szCs w:val="20"/>
        </w:rPr>
        <w:t xml:space="preserve">, O.S., Sola, O., </w:t>
      </w:r>
      <w:proofErr w:type="spellStart"/>
      <w:r>
        <w:rPr>
          <w:rFonts w:ascii="Arial" w:hAnsi="Arial" w:cs="Arial"/>
          <w:iCs/>
          <w:sz w:val="20"/>
          <w:szCs w:val="20"/>
        </w:rPr>
        <w:t>Akanbi</w:t>
      </w:r>
      <w:proofErr w:type="spellEnd"/>
      <w:r>
        <w:rPr>
          <w:rFonts w:ascii="Arial" w:hAnsi="Arial" w:cs="Arial"/>
          <w:iCs/>
          <w:sz w:val="20"/>
          <w:szCs w:val="20"/>
        </w:rPr>
        <w:t xml:space="preserve">, W.B., </w:t>
      </w:r>
      <w:proofErr w:type="spellStart"/>
      <w:r>
        <w:rPr>
          <w:rFonts w:ascii="Arial" w:hAnsi="Arial" w:cs="Arial"/>
          <w:iCs/>
          <w:sz w:val="20"/>
          <w:szCs w:val="20"/>
        </w:rPr>
        <w:t>Adesina</w:t>
      </w:r>
      <w:proofErr w:type="spellEnd"/>
      <w:r>
        <w:rPr>
          <w:rFonts w:ascii="Arial" w:hAnsi="Arial" w:cs="Arial"/>
          <w:iCs/>
          <w:sz w:val="20"/>
          <w:szCs w:val="20"/>
        </w:rPr>
        <w:t xml:space="preserve">, G.O. &amp; </w:t>
      </w:r>
      <w:proofErr w:type="spellStart"/>
      <w:r>
        <w:rPr>
          <w:rFonts w:ascii="Arial" w:hAnsi="Arial" w:cs="Arial"/>
          <w:iCs/>
          <w:sz w:val="20"/>
          <w:szCs w:val="20"/>
        </w:rPr>
        <w:t>Babajide</w:t>
      </w:r>
      <w:proofErr w:type="spellEnd"/>
      <w:r>
        <w:rPr>
          <w:rFonts w:ascii="Arial" w:hAnsi="Arial" w:cs="Arial"/>
          <w:iCs/>
          <w:sz w:val="20"/>
          <w:szCs w:val="20"/>
        </w:rPr>
        <w:t>, P.A. (2007).</w:t>
      </w:r>
      <w:r>
        <w:rPr>
          <w:rFonts w:ascii="Arial" w:hAnsi="Arial" w:cs="Arial"/>
          <w:bCs/>
          <w:sz w:val="20"/>
          <w:szCs w:val="20"/>
        </w:rPr>
        <w:t xml:space="preserve"> Evaluation of</w:t>
      </w:r>
      <w:r>
        <w:rPr>
          <w:rFonts w:ascii="Arial" w:hAnsi="Arial" w:cs="Arial"/>
          <w:bCs/>
          <w:iCs/>
          <w:sz w:val="20"/>
          <w:szCs w:val="20"/>
        </w:rPr>
        <w:t xml:space="preserve"> </w:t>
      </w:r>
      <w:proofErr w:type="spellStart"/>
      <w:r>
        <w:rPr>
          <w:rFonts w:ascii="Arial" w:hAnsi="Arial" w:cs="Arial"/>
          <w:bCs/>
          <w:i/>
          <w:iCs/>
          <w:sz w:val="20"/>
          <w:szCs w:val="20"/>
        </w:rPr>
        <w:t>Tithonia</w:t>
      </w:r>
      <w:proofErr w:type="spellEnd"/>
      <w:r>
        <w:rPr>
          <w:rFonts w:ascii="Arial" w:hAnsi="Arial" w:cs="Arial"/>
          <w:bCs/>
          <w:i/>
          <w:iCs/>
          <w:sz w:val="20"/>
          <w:szCs w:val="20"/>
        </w:rPr>
        <w:t xml:space="preserve"> </w:t>
      </w:r>
      <w:proofErr w:type="spellStart"/>
      <w:r>
        <w:rPr>
          <w:rFonts w:ascii="Arial" w:hAnsi="Arial" w:cs="Arial"/>
          <w:bCs/>
          <w:i/>
          <w:iCs/>
          <w:sz w:val="20"/>
          <w:szCs w:val="20"/>
        </w:rPr>
        <w:t>diversifolia</w:t>
      </w:r>
      <w:proofErr w:type="spellEnd"/>
      <w:r>
        <w:rPr>
          <w:rFonts w:ascii="Arial" w:hAnsi="Arial" w:cs="Arial"/>
          <w:bCs/>
          <w:sz w:val="20"/>
          <w:szCs w:val="20"/>
        </w:rPr>
        <w:t xml:space="preserve"> </w:t>
      </w:r>
      <w:r>
        <w:rPr>
          <w:rFonts w:ascii="Arial" w:hAnsi="Arial" w:cs="Arial"/>
          <w:bCs/>
          <w:i/>
          <w:sz w:val="20"/>
          <w:szCs w:val="20"/>
        </w:rPr>
        <w:t>(</w:t>
      </w:r>
      <w:proofErr w:type="spellStart"/>
      <w:r>
        <w:rPr>
          <w:rFonts w:ascii="Arial" w:hAnsi="Arial" w:cs="Arial"/>
          <w:bCs/>
          <w:i/>
          <w:sz w:val="20"/>
          <w:szCs w:val="20"/>
        </w:rPr>
        <w:t>Hemsl</w:t>
      </w:r>
      <w:proofErr w:type="spellEnd"/>
      <w:r>
        <w:rPr>
          <w:rFonts w:ascii="Arial" w:hAnsi="Arial" w:cs="Arial"/>
          <w:bCs/>
          <w:i/>
          <w:sz w:val="20"/>
          <w:szCs w:val="20"/>
        </w:rPr>
        <w:t>.) A Gray</w:t>
      </w:r>
      <w:r>
        <w:rPr>
          <w:rFonts w:ascii="Arial" w:hAnsi="Arial" w:cs="Arial"/>
          <w:bCs/>
          <w:sz w:val="20"/>
          <w:szCs w:val="20"/>
        </w:rPr>
        <w:t xml:space="preserve"> for soil improvement. </w:t>
      </w:r>
      <w:r>
        <w:rPr>
          <w:rFonts w:ascii="Arial" w:hAnsi="Arial" w:cs="Arial"/>
          <w:i/>
          <w:sz w:val="20"/>
          <w:szCs w:val="20"/>
        </w:rPr>
        <w:t>World J. Agric. Sci. 3:503</w:t>
      </w:r>
      <w:r>
        <w:rPr>
          <w:rFonts w:ascii="Arial" w:hAnsi="Arial" w:cs="Arial"/>
          <w:color w:val="000000"/>
          <w:sz w:val="20"/>
          <w:szCs w:val="20"/>
        </w:rPr>
        <w:t>–</w:t>
      </w:r>
      <w:r>
        <w:rPr>
          <w:rFonts w:ascii="Arial" w:hAnsi="Arial" w:cs="Arial"/>
          <w:i/>
          <w:sz w:val="20"/>
          <w:szCs w:val="20"/>
        </w:rPr>
        <w:t xml:space="preserve">507. </w:t>
      </w:r>
    </w:p>
    <w:p w:rsidR="00CD528E" w:rsidRDefault="00CD528E" w:rsidP="00CD528E">
      <w:pPr>
        <w:spacing w:after="0" w:line="360" w:lineRule="auto"/>
        <w:ind w:left="567" w:hanging="567"/>
        <w:contextualSpacing/>
        <w:jc w:val="both"/>
        <w:rPr>
          <w:rFonts w:ascii="Arial" w:hAnsi="Arial" w:cs="Arial"/>
          <w:i/>
          <w:sz w:val="20"/>
          <w:szCs w:val="20"/>
        </w:rPr>
      </w:pPr>
      <w:proofErr w:type="spellStart"/>
      <w:r>
        <w:rPr>
          <w:rFonts w:ascii="Arial" w:hAnsi="Arial" w:cs="Arial"/>
          <w:bCs/>
          <w:sz w:val="20"/>
          <w:szCs w:val="20"/>
        </w:rPr>
        <w:t>Qadri</w:t>
      </w:r>
      <w:proofErr w:type="spellEnd"/>
      <w:r>
        <w:rPr>
          <w:rFonts w:ascii="Arial" w:hAnsi="Arial" w:cs="Arial"/>
          <w:bCs/>
          <w:sz w:val="20"/>
          <w:szCs w:val="20"/>
        </w:rPr>
        <w:t>, R.W.K., I.</w:t>
      </w:r>
      <w:r w:rsidR="0036680B">
        <w:rPr>
          <w:rFonts w:ascii="Arial" w:hAnsi="Arial" w:cs="Arial"/>
          <w:bCs/>
          <w:sz w:val="20"/>
          <w:szCs w:val="20"/>
        </w:rPr>
        <w:t xml:space="preserve"> </w:t>
      </w:r>
      <w:r>
        <w:rPr>
          <w:rFonts w:ascii="Arial" w:hAnsi="Arial" w:cs="Arial"/>
          <w:bCs/>
          <w:sz w:val="20"/>
          <w:szCs w:val="20"/>
        </w:rPr>
        <w:t xml:space="preserve">Khan, Jahangir, M.M., Ashraf, U., </w:t>
      </w:r>
      <w:proofErr w:type="spellStart"/>
      <w:r>
        <w:rPr>
          <w:rFonts w:ascii="Arial" w:hAnsi="Arial" w:cs="Arial"/>
          <w:bCs/>
          <w:sz w:val="20"/>
          <w:szCs w:val="20"/>
        </w:rPr>
        <w:t>Samin</w:t>
      </w:r>
      <w:proofErr w:type="spellEnd"/>
      <w:r>
        <w:rPr>
          <w:rFonts w:ascii="Arial" w:hAnsi="Arial" w:cs="Arial"/>
          <w:bCs/>
          <w:sz w:val="20"/>
          <w:szCs w:val="20"/>
        </w:rPr>
        <w:t xml:space="preserve">, G., </w:t>
      </w:r>
      <w:proofErr w:type="spellStart"/>
      <w:r>
        <w:rPr>
          <w:rFonts w:ascii="Arial" w:hAnsi="Arial" w:cs="Arial"/>
          <w:bCs/>
          <w:sz w:val="20"/>
          <w:szCs w:val="20"/>
        </w:rPr>
        <w:t>Anwer</w:t>
      </w:r>
      <w:proofErr w:type="spellEnd"/>
      <w:r>
        <w:rPr>
          <w:rFonts w:ascii="Arial" w:hAnsi="Arial" w:cs="Arial"/>
          <w:bCs/>
          <w:sz w:val="20"/>
          <w:szCs w:val="20"/>
        </w:rPr>
        <w:t xml:space="preserve">, A. &amp; </w:t>
      </w:r>
      <w:proofErr w:type="spellStart"/>
      <w:r>
        <w:rPr>
          <w:rFonts w:ascii="Arial" w:hAnsi="Arial" w:cs="Arial"/>
          <w:bCs/>
          <w:sz w:val="20"/>
          <w:szCs w:val="20"/>
        </w:rPr>
        <w:t>Bashor</w:t>
      </w:r>
      <w:proofErr w:type="spellEnd"/>
      <w:r>
        <w:rPr>
          <w:rFonts w:ascii="Arial" w:hAnsi="Arial" w:cs="Arial"/>
          <w:bCs/>
          <w:sz w:val="20"/>
          <w:szCs w:val="20"/>
        </w:rPr>
        <w:t xml:space="preserve">, M. (2015).  Phosphorous and foliar applied nitrogen improved productivity and quality of potato.  </w:t>
      </w:r>
      <w:r>
        <w:rPr>
          <w:rFonts w:ascii="Arial" w:hAnsi="Arial" w:cs="Arial"/>
          <w:bCs/>
          <w:i/>
          <w:sz w:val="20"/>
          <w:szCs w:val="20"/>
        </w:rPr>
        <w:t xml:space="preserve">Am. </w:t>
      </w:r>
      <w:proofErr w:type="spellStart"/>
      <w:proofErr w:type="gramStart"/>
      <w:r>
        <w:rPr>
          <w:rFonts w:ascii="Arial" w:hAnsi="Arial" w:cs="Arial"/>
          <w:bCs/>
          <w:i/>
          <w:sz w:val="20"/>
          <w:szCs w:val="20"/>
        </w:rPr>
        <w:t>J.Plant</w:t>
      </w:r>
      <w:proofErr w:type="spellEnd"/>
      <w:proofErr w:type="gramEnd"/>
      <w:r>
        <w:rPr>
          <w:rFonts w:ascii="Arial" w:hAnsi="Arial" w:cs="Arial"/>
          <w:bCs/>
          <w:i/>
          <w:sz w:val="20"/>
          <w:szCs w:val="20"/>
        </w:rPr>
        <w:t xml:space="preserve"> Sci. 60: 144</w:t>
      </w:r>
      <w:r>
        <w:rPr>
          <w:rFonts w:ascii="Arial" w:hAnsi="Arial" w:cs="Arial"/>
          <w:color w:val="000000"/>
          <w:sz w:val="20"/>
          <w:szCs w:val="20"/>
        </w:rPr>
        <w:t>–</w:t>
      </w:r>
      <w:r>
        <w:rPr>
          <w:rFonts w:ascii="Arial" w:hAnsi="Arial" w:cs="Arial"/>
          <w:bCs/>
          <w:i/>
          <w:sz w:val="20"/>
          <w:szCs w:val="20"/>
        </w:rPr>
        <w:t>149.</w:t>
      </w:r>
    </w:p>
    <w:p w:rsidR="00CD528E" w:rsidRDefault="00CD528E" w:rsidP="00CD528E">
      <w:pPr>
        <w:pStyle w:val="journal-title"/>
        <w:spacing w:beforeAutospacing="0" w:after="0" w:afterAutospacing="0" w:line="360" w:lineRule="auto"/>
        <w:ind w:left="567" w:hanging="567"/>
        <w:contextualSpacing/>
        <w:jc w:val="both"/>
        <w:rPr>
          <w:rFonts w:ascii="Arial" w:hAnsi="Arial" w:cs="Arial"/>
          <w:i/>
          <w:sz w:val="20"/>
          <w:szCs w:val="20"/>
          <w:lang w:val="en-US"/>
        </w:rPr>
      </w:pPr>
      <w:r>
        <w:rPr>
          <w:rFonts w:ascii="Arial" w:hAnsi="Arial" w:cs="Arial"/>
          <w:sz w:val="20"/>
          <w:szCs w:val="20"/>
          <w:lang w:val="en-US"/>
        </w:rPr>
        <w:t xml:space="preserve">Reddy, B.M., </w:t>
      </w:r>
      <w:proofErr w:type="spellStart"/>
      <w:r>
        <w:rPr>
          <w:rStyle w:val="author-name"/>
          <w:rFonts w:ascii="Arial" w:hAnsi="Arial" w:cs="Arial"/>
          <w:sz w:val="20"/>
          <w:szCs w:val="20"/>
          <w:lang w:val="en-US"/>
        </w:rPr>
        <w:t>Dass</w:t>
      </w:r>
      <w:proofErr w:type="spellEnd"/>
      <w:r>
        <w:rPr>
          <w:rStyle w:val="author"/>
          <w:rFonts w:ascii="Arial" w:hAnsi="Arial" w:cs="Arial"/>
          <w:sz w:val="20"/>
          <w:szCs w:val="20"/>
          <w:lang w:val="en-US"/>
        </w:rPr>
        <w:t>,</w:t>
      </w:r>
      <w:r>
        <w:rPr>
          <w:rFonts w:ascii="Arial" w:hAnsi="Arial" w:cs="Arial"/>
          <w:sz w:val="20"/>
          <w:szCs w:val="20"/>
          <w:lang w:val="en-US"/>
        </w:rPr>
        <w:t xml:space="preserve"> C.</w:t>
      </w:r>
      <w:r>
        <w:rPr>
          <w:rStyle w:val="author-name"/>
          <w:rFonts w:ascii="Arial" w:hAnsi="Arial" w:cs="Arial"/>
          <w:sz w:val="20"/>
          <w:szCs w:val="20"/>
          <w:lang w:val="en-US"/>
        </w:rPr>
        <w:t>H.C., Prakash</w:t>
      </w:r>
      <w:r>
        <w:rPr>
          <w:rStyle w:val="author"/>
          <w:rFonts w:ascii="Arial" w:hAnsi="Arial" w:cs="Arial"/>
          <w:sz w:val="20"/>
          <w:szCs w:val="20"/>
          <w:lang w:val="en-US"/>
        </w:rPr>
        <w:t>,</w:t>
      </w:r>
      <w:r>
        <w:rPr>
          <w:rFonts w:ascii="Arial" w:hAnsi="Arial" w:cs="Arial"/>
          <w:sz w:val="20"/>
          <w:szCs w:val="20"/>
          <w:lang w:val="en-US"/>
        </w:rPr>
        <w:t xml:space="preserve"> </w:t>
      </w:r>
      <w:r>
        <w:rPr>
          <w:rStyle w:val="author-name"/>
          <w:rFonts w:ascii="Arial" w:hAnsi="Arial" w:cs="Arial"/>
          <w:sz w:val="20"/>
          <w:szCs w:val="20"/>
          <w:lang w:val="en-US"/>
        </w:rPr>
        <w:t>G.S., Subramanian</w:t>
      </w:r>
      <w:r>
        <w:rPr>
          <w:rStyle w:val="author"/>
          <w:rFonts w:ascii="Arial" w:hAnsi="Arial" w:cs="Arial"/>
          <w:sz w:val="20"/>
          <w:szCs w:val="20"/>
          <w:lang w:val="en-US"/>
        </w:rPr>
        <w:t>,</w:t>
      </w:r>
      <w:r>
        <w:rPr>
          <w:rFonts w:ascii="Arial" w:hAnsi="Arial" w:cs="Arial"/>
          <w:sz w:val="20"/>
          <w:szCs w:val="20"/>
          <w:lang w:val="en-US"/>
        </w:rPr>
        <w:t xml:space="preserve"> </w:t>
      </w:r>
      <w:r>
        <w:rPr>
          <w:rStyle w:val="author-name"/>
          <w:rFonts w:ascii="Arial" w:hAnsi="Arial" w:cs="Arial"/>
          <w:sz w:val="20"/>
          <w:szCs w:val="20"/>
          <w:lang w:val="en-US"/>
        </w:rPr>
        <w:t>T.R. &amp; Rao</w:t>
      </w:r>
      <w:r>
        <w:rPr>
          <w:rFonts w:ascii="Arial" w:hAnsi="Arial" w:cs="Arial"/>
          <w:sz w:val="20"/>
          <w:szCs w:val="20"/>
          <w:lang w:val="en-US"/>
        </w:rPr>
        <w:t xml:space="preserve">, </w:t>
      </w:r>
      <w:r>
        <w:rPr>
          <w:rStyle w:val="author-name"/>
          <w:rFonts w:ascii="Arial" w:hAnsi="Arial" w:cs="Arial"/>
          <w:sz w:val="20"/>
          <w:szCs w:val="20"/>
          <w:lang w:val="en-US"/>
        </w:rPr>
        <w:t>M.H. (</w:t>
      </w:r>
      <w:r>
        <w:rPr>
          <w:rFonts w:ascii="Arial" w:hAnsi="Arial" w:cs="Arial"/>
          <w:sz w:val="20"/>
          <w:szCs w:val="20"/>
          <w:lang w:val="en-US"/>
        </w:rPr>
        <w:t xml:space="preserve">1983).  Effect of foliar application of urea on leaf nutrient status and yield of ‘Kew’ pineapple. </w:t>
      </w:r>
      <w:r>
        <w:rPr>
          <w:rFonts w:ascii="Arial" w:hAnsi="Arial" w:cs="Arial"/>
          <w:i/>
          <w:sz w:val="20"/>
          <w:szCs w:val="20"/>
          <w:lang w:val="en-US"/>
        </w:rPr>
        <w:t>Sci. Hort. 18:225</w:t>
      </w:r>
      <w:r>
        <w:rPr>
          <w:rFonts w:ascii="Arial" w:hAnsi="Arial" w:cs="Arial"/>
          <w:color w:val="000000"/>
          <w:sz w:val="20"/>
          <w:szCs w:val="20"/>
          <w:lang w:val="en-US"/>
        </w:rPr>
        <w:t>–</w:t>
      </w:r>
      <w:r>
        <w:rPr>
          <w:rFonts w:ascii="Arial" w:hAnsi="Arial" w:cs="Arial"/>
          <w:i/>
          <w:sz w:val="20"/>
          <w:szCs w:val="20"/>
          <w:lang w:val="en-US"/>
        </w:rPr>
        <w:t>230.</w:t>
      </w:r>
    </w:p>
    <w:p w:rsidR="00CD528E" w:rsidRDefault="00CD528E" w:rsidP="00CD528E">
      <w:pPr>
        <w:pStyle w:val="journal-title"/>
        <w:spacing w:beforeAutospacing="0" w:after="0" w:afterAutospacing="0" w:line="360" w:lineRule="auto"/>
        <w:ind w:left="567" w:hanging="567"/>
        <w:contextualSpacing/>
        <w:jc w:val="both"/>
        <w:rPr>
          <w:rFonts w:ascii="Arial" w:hAnsi="Arial" w:cs="Arial"/>
          <w:i/>
          <w:sz w:val="20"/>
          <w:szCs w:val="20"/>
          <w:lang w:val="en-US"/>
        </w:rPr>
      </w:pPr>
      <w:r>
        <w:rPr>
          <w:rFonts w:ascii="Arial" w:hAnsi="Arial" w:cs="Arial"/>
          <w:sz w:val="20"/>
          <w:szCs w:val="20"/>
          <w:lang w:val="en-US"/>
        </w:rPr>
        <w:lastRenderedPageBreak/>
        <w:t xml:space="preserve">Ros, M., </w:t>
      </w:r>
      <w:proofErr w:type="spellStart"/>
      <w:r>
        <w:rPr>
          <w:rFonts w:ascii="Arial" w:hAnsi="Arial" w:cs="Arial"/>
          <w:sz w:val="20"/>
          <w:szCs w:val="20"/>
          <w:lang w:val="en-US"/>
        </w:rPr>
        <w:t>Klammer</w:t>
      </w:r>
      <w:proofErr w:type="spellEnd"/>
      <w:r>
        <w:rPr>
          <w:rFonts w:ascii="Arial" w:hAnsi="Arial" w:cs="Arial"/>
          <w:sz w:val="20"/>
          <w:szCs w:val="20"/>
          <w:lang w:val="en-US"/>
        </w:rPr>
        <w:t xml:space="preserve">, S., Knapp, B., </w:t>
      </w:r>
      <w:proofErr w:type="spellStart"/>
      <w:r>
        <w:rPr>
          <w:rFonts w:ascii="Arial" w:hAnsi="Arial" w:cs="Arial"/>
          <w:sz w:val="20"/>
          <w:szCs w:val="20"/>
          <w:lang w:val="en-US"/>
        </w:rPr>
        <w:t>Archberger</w:t>
      </w:r>
      <w:proofErr w:type="spellEnd"/>
      <w:r>
        <w:rPr>
          <w:rFonts w:ascii="Arial" w:hAnsi="Arial" w:cs="Arial"/>
          <w:sz w:val="20"/>
          <w:szCs w:val="20"/>
          <w:lang w:val="en-US"/>
        </w:rPr>
        <w:t xml:space="preserve">, K. &amp; </w:t>
      </w:r>
      <w:proofErr w:type="spellStart"/>
      <w:r>
        <w:rPr>
          <w:rFonts w:ascii="Arial" w:hAnsi="Arial" w:cs="Arial"/>
          <w:sz w:val="20"/>
          <w:szCs w:val="20"/>
          <w:lang w:val="en-US"/>
        </w:rPr>
        <w:t>Insam</w:t>
      </w:r>
      <w:proofErr w:type="spellEnd"/>
      <w:r>
        <w:rPr>
          <w:rFonts w:ascii="Arial" w:hAnsi="Arial" w:cs="Arial"/>
          <w:sz w:val="20"/>
          <w:szCs w:val="20"/>
          <w:lang w:val="en-US"/>
        </w:rPr>
        <w:t xml:space="preserve">, H.  (2006). Long-term effects of compost amendments of soil on functional and structural diversity and microbial activity. </w:t>
      </w:r>
      <w:r>
        <w:rPr>
          <w:rFonts w:ascii="Arial" w:hAnsi="Arial" w:cs="Arial"/>
          <w:i/>
          <w:iCs/>
          <w:sz w:val="20"/>
          <w:szCs w:val="20"/>
          <w:lang w:val="en-US"/>
        </w:rPr>
        <w:t xml:space="preserve">Soil Use &amp; </w:t>
      </w:r>
      <w:proofErr w:type="spellStart"/>
      <w:r>
        <w:rPr>
          <w:rFonts w:ascii="Arial" w:hAnsi="Arial" w:cs="Arial"/>
          <w:i/>
          <w:iCs/>
          <w:sz w:val="20"/>
          <w:szCs w:val="20"/>
          <w:lang w:val="en-US"/>
        </w:rPr>
        <w:t>Manag</w:t>
      </w:r>
      <w:proofErr w:type="spellEnd"/>
      <w:r>
        <w:rPr>
          <w:rFonts w:ascii="Arial" w:hAnsi="Arial" w:cs="Arial"/>
          <w:i/>
          <w:iCs/>
          <w:sz w:val="20"/>
          <w:szCs w:val="20"/>
          <w:lang w:val="en-US"/>
        </w:rPr>
        <w:t>.</w:t>
      </w:r>
      <w:r>
        <w:rPr>
          <w:rFonts w:ascii="Arial" w:hAnsi="Arial" w:cs="Arial"/>
          <w:sz w:val="20"/>
          <w:szCs w:val="20"/>
          <w:lang w:val="en-US"/>
        </w:rPr>
        <w:t xml:space="preserve"> </w:t>
      </w:r>
      <w:r>
        <w:rPr>
          <w:rFonts w:ascii="Arial" w:hAnsi="Arial" w:cs="Arial"/>
          <w:i/>
          <w:sz w:val="20"/>
          <w:szCs w:val="20"/>
          <w:lang w:val="en-US"/>
        </w:rPr>
        <w:t>22:209</w:t>
      </w:r>
      <w:r>
        <w:rPr>
          <w:rFonts w:ascii="Arial" w:hAnsi="Arial" w:cs="Arial"/>
          <w:color w:val="000000"/>
          <w:sz w:val="20"/>
          <w:szCs w:val="20"/>
          <w:lang w:val="en-US"/>
        </w:rPr>
        <w:t>–</w:t>
      </w:r>
      <w:r>
        <w:rPr>
          <w:rFonts w:ascii="Arial" w:hAnsi="Arial" w:cs="Arial"/>
          <w:i/>
          <w:sz w:val="20"/>
          <w:szCs w:val="20"/>
          <w:lang w:val="en-US"/>
        </w:rPr>
        <w:t>218.</w:t>
      </w:r>
    </w:p>
    <w:p w:rsidR="00CD528E" w:rsidRDefault="00CD528E" w:rsidP="00CD528E">
      <w:pPr>
        <w:spacing w:after="0" w:line="360" w:lineRule="auto"/>
        <w:ind w:left="567" w:hanging="567"/>
        <w:contextualSpacing/>
        <w:jc w:val="both"/>
        <w:rPr>
          <w:rFonts w:ascii="Arial" w:hAnsi="Arial" w:cs="Arial"/>
          <w:spacing w:val="-8"/>
          <w:sz w:val="20"/>
          <w:szCs w:val="20"/>
        </w:rPr>
      </w:pPr>
      <w:proofErr w:type="spellStart"/>
      <w:r>
        <w:rPr>
          <w:rFonts w:ascii="Arial" w:hAnsi="Arial" w:cs="Arial"/>
          <w:sz w:val="20"/>
          <w:szCs w:val="20"/>
        </w:rPr>
        <w:t>Setyowati</w:t>
      </w:r>
      <w:proofErr w:type="spellEnd"/>
      <w:r>
        <w:rPr>
          <w:rFonts w:ascii="Arial" w:hAnsi="Arial" w:cs="Arial"/>
          <w:sz w:val="20"/>
          <w:szCs w:val="20"/>
        </w:rPr>
        <w:t xml:space="preserve">, N. (2014). Weed sourced organic fertilizer for vegetable production in closed agriculture system in humid tropical highland of Bengkulu. </w:t>
      </w:r>
      <w:r>
        <w:rPr>
          <w:rFonts w:ascii="Arial" w:hAnsi="Arial" w:cs="Arial"/>
          <w:i/>
          <w:color w:val="000000"/>
          <w:spacing w:val="1"/>
          <w:sz w:val="20"/>
          <w:szCs w:val="20"/>
        </w:rPr>
        <w:t>Proc. 5th RENPER International Seminar, October</w:t>
      </w:r>
      <w:r>
        <w:rPr>
          <w:rFonts w:ascii="Arial" w:hAnsi="Arial" w:cs="Arial"/>
          <w:i/>
          <w:sz w:val="20"/>
          <w:szCs w:val="20"/>
        </w:rPr>
        <w:t xml:space="preserve"> 2</w:t>
      </w:r>
      <w:r>
        <w:rPr>
          <w:rFonts w:ascii="Arial" w:hAnsi="Arial" w:cs="Arial"/>
          <w:i/>
          <w:spacing w:val="2"/>
          <w:sz w:val="20"/>
          <w:szCs w:val="20"/>
        </w:rPr>
        <w:t>2</w:t>
      </w:r>
      <w:r>
        <w:rPr>
          <w:rFonts w:ascii="Arial" w:hAnsi="Arial" w:cs="Arial"/>
          <w:i/>
          <w:sz w:val="20"/>
          <w:szCs w:val="20"/>
        </w:rPr>
        <w:t>-2</w:t>
      </w:r>
      <w:r>
        <w:rPr>
          <w:rFonts w:ascii="Arial" w:hAnsi="Arial" w:cs="Arial"/>
          <w:i/>
          <w:spacing w:val="1"/>
          <w:sz w:val="20"/>
          <w:szCs w:val="20"/>
        </w:rPr>
        <w:t>4</w:t>
      </w:r>
      <w:r>
        <w:rPr>
          <w:rFonts w:ascii="Arial" w:hAnsi="Arial" w:cs="Arial"/>
          <w:i/>
          <w:sz w:val="20"/>
          <w:szCs w:val="20"/>
        </w:rPr>
        <w:t>,</w:t>
      </w:r>
      <w:r>
        <w:rPr>
          <w:rFonts w:ascii="Arial" w:hAnsi="Arial" w:cs="Arial"/>
          <w:i/>
          <w:spacing w:val="-8"/>
          <w:sz w:val="20"/>
          <w:szCs w:val="20"/>
        </w:rPr>
        <w:t xml:space="preserve"> Banking Univ. Ho Chi Minh City, Vietnam</w:t>
      </w:r>
      <w:r>
        <w:rPr>
          <w:rFonts w:ascii="Arial" w:hAnsi="Arial" w:cs="Arial"/>
          <w:spacing w:val="-8"/>
          <w:sz w:val="20"/>
          <w:szCs w:val="20"/>
        </w:rPr>
        <w:t>.</w:t>
      </w:r>
    </w:p>
    <w:p w:rsidR="00CD528E" w:rsidRDefault="00CD528E" w:rsidP="00CD528E">
      <w:pPr>
        <w:spacing w:after="0" w:line="360" w:lineRule="auto"/>
        <w:ind w:left="567" w:hanging="567"/>
        <w:contextualSpacing/>
      </w:pPr>
      <w:proofErr w:type="spellStart"/>
      <w:r>
        <w:rPr>
          <w:rFonts w:ascii="Arial" w:hAnsi="Arial" w:cs="Arial"/>
          <w:bCs/>
          <w:color w:val="000000"/>
          <w:sz w:val="20"/>
          <w:szCs w:val="20"/>
        </w:rPr>
        <w:t>Sopha</w:t>
      </w:r>
      <w:proofErr w:type="spellEnd"/>
      <w:r>
        <w:rPr>
          <w:rFonts w:ascii="Arial" w:hAnsi="Arial" w:cs="Arial"/>
          <w:bCs/>
          <w:color w:val="000000"/>
          <w:sz w:val="20"/>
          <w:szCs w:val="20"/>
        </w:rPr>
        <w:t xml:space="preserve">, G.A. &amp; </w:t>
      </w:r>
      <w:proofErr w:type="spellStart"/>
      <w:r>
        <w:rPr>
          <w:rFonts w:ascii="Arial" w:hAnsi="Arial" w:cs="Arial"/>
          <w:bCs/>
          <w:color w:val="000000"/>
          <w:sz w:val="20"/>
          <w:szCs w:val="20"/>
        </w:rPr>
        <w:t>Uhan</w:t>
      </w:r>
      <w:proofErr w:type="spellEnd"/>
      <w:r>
        <w:rPr>
          <w:rFonts w:ascii="Arial" w:hAnsi="Arial" w:cs="Arial"/>
          <w:bCs/>
          <w:color w:val="000000"/>
          <w:sz w:val="20"/>
          <w:szCs w:val="20"/>
        </w:rPr>
        <w:t xml:space="preserve">, T.S. (2013).  Application of liquid organic fertilizer from city waste on reduce urea application on </w:t>
      </w:r>
      <w:proofErr w:type="spellStart"/>
      <w:r>
        <w:rPr>
          <w:rFonts w:ascii="Arial" w:hAnsi="Arial" w:cs="Arial"/>
          <w:bCs/>
          <w:color w:val="000000"/>
          <w:sz w:val="20"/>
          <w:szCs w:val="20"/>
        </w:rPr>
        <w:t>chinese</w:t>
      </w:r>
      <w:proofErr w:type="spellEnd"/>
      <w:r>
        <w:rPr>
          <w:rFonts w:ascii="Arial" w:hAnsi="Arial" w:cs="Arial"/>
          <w:bCs/>
          <w:color w:val="000000"/>
          <w:sz w:val="20"/>
          <w:szCs w:val="20"/>
        </w:rPr>
        <w:t xml:space="preserve"> mustard (</w:t>
      </w:r>
      <w:r>
        <w:rPr>
          <w:rFonts w:ascii="Arial" w:hAnsi="Arial" w:cs="Arial"/>
          <w:bCs/>
          <w:i/>
          <w:color w:val="000000"/>
          <w:sz w:val="20"/>
          <w:szCs w:val="20"/>
        </w:rPr>
        <w:t xml:space="preserve">Brassica </w:t>
      </w:r>
      <w:proofErr w:type="spellStart"/>
      <w:r>
        <w:rPr>
          <w:rFonts w:ascii="Arial" w:hAnsi="Arial" w:cs="Arial"/>
          <w:bCs/>
          <w:i/>
          <w:color w:val="000000"/>
          <w:sz w:val="20"/>
          <w:szCs w:val="20"/>
        </w:rPr>
        <w:t>juncea</w:t>
      </w:r>
      <w:proofErr w:type="spellEnd"/>
      <w:r>
        <w:rPr>
          <w:rFonts w:ascii="Arial" w:hAnsi="Arial" w:cs="Arial"/>
          <w:bCs/>
          <w:color w:val="000000"/>
          <w:sz w:val="20"/>
          <w:szCs w:val="20"/>
        </w:rPr>
        <w:t xml:space="preserve"> L.) cultivation.  </w:t>
      </w:r>
      <w:r>
        <w:rPr>
          <w:rFonts w:ascii="Arial" w:hAnsi="Arial" w:cs="Arial"/>
          <w:bCs/>
          <w:i/>
          <w:color w:val="000000"/>
          <w:sz w:val="20"/>
          <w:szCs w:val="20"/>
        </w:rPr>
        <w:t xml:space="preserve">AAB </w:t>
      </w:r>
      <w:proofErr w:type="spellStart"/>
      <w:r>
        <w:rPr>
          <w:rFonts w:ascii="Arial" w:hAnsi="Arial" w:cs="Arial"/>
          <w:bCs/>
          <w:i/>
          <w:color w:val="000000"/>
          <w:sz w:val="20"/>
          <w:szCs w:val="20"/>
        </w:rPr>
        <w:t>Bioflux</w:t>
      </w:r>
      <w:proofErr w:type="spellEnd"/>
      <w:r>
        <w:rPr>
          <w:rFonts w:ascii="Arial" w:hAnsi="Arial" w:cs="Arial"/>
          <w:bCs/>
          <w:i/>
          <w:color w:val="000000"/>
          <w:sz w:val="20"/>
          <w:szCs w:val="20"/>
        </w:rPr>
        <w:t>. 5:39</w:t>
      </w:r>
      <w:r>
        <w:rPr>
          <w:rFonts w:ascii="Arial" w:hAnsi="Arial" w:cs="Arial"/>
          <w:color w:val="000000"/>
          <w:sz w:val="20"/>
          <w:szCs w:val="20"/>
        </w:rPr>
        <w:t>–</w:t>
      </w:r>
      <w:r>
        <w:rPr>
          <w:rFonts w:ascii="Arial" w:hAnsi="Arial" w:cs="Arial"/>
          <w:bCs/>
          <w:i/>
          <w:color w:val="000000"/>
          <w:sz w:val="20"/>
          <w:szCs w:val="20"/>
        </w:rPr>
        <w:t xml:space="preserve">44.  Retrieved from </w:t>
      </w:r>
      <w:hyperlink r:id="rId7">
        <w:r>
          <w:rPr>
            <w:rStyle w:val="InternetLink"/>
            <w:rFonts w:ascii="Arial" w:hAnsi="Arial" w:cs="Arial"/>
            <w:bCs/>
            <w:i/>
            <w:sz w:val="20"/>
            <w:szCs w:val="20"/>
          </w:rPr>
          <w:t>http://aab.bioflux.com.ro</w:t>
        </w:r>
      </w:hyperlink>
    </w:p>
    <w:p w:rsidR="00CD528E" w:rsidRDefault="00CD528E" w:rsidP="00CD528E">
      <w:pPr>
        <w:spacing w:after="0" w:line="360" w:lineRule="auto"/>
        <w:ind w:left="567" w:hanging="567"/>
        <w:contextualSpacing/>
      </w:pPr>
      <w:proofErr w:type="spellStart"/>
      <w:r>
        <w:rPr>
          <w:rFonts w:ascii="Arial" w:hAnsi="Arial" w:cs="Arial"/>
          <w:color w:val="000000"/>
          <w:sz w:val="20"/>
          <w:szCs w:val="20"/>
        </w:rPr>
        <w:t>Yildrim</w:t>
      </w:r>
      <w:proofErr w:type="spellEnd"/>
      <w:r>
        <w:rPr>
          <w:rFonts w:ascii="Arial" w:hAnsi="Arial" w:cs="Arial"/>
          <w:color w:val="000000"/>
          <w:sz w:val="20"/>
          <w:szCs w:val="20"/>
        </w:rPr>
        <w:t xml:space="preserve">, E, </w:t>
      </w:r>
      <w:proofErr w:type="spellStart"/>
      <w:r>
        <w:rPr>
          <w:rFonts w:ascii="Arial" w:hAnsi="Arial" w:cs="Arial"/>
          <w:color w:val="000000"/>
          <w:sz w:val="20"/>
          <w:szCs w:val="20"/>
        </w:rPr>
        <w:t>Guvenc</w:t>
      </w:r>
      <w:proofErr w:type="spellEnd"/>
      <w:r>
        <w:rPr>
          <w:rFonts w:ascii="Arial" w:hAnsi="Arial" w:cs="Arial"/>
          <w:color w:val="000000"/>
          <w:sz w:val="20"/>
          <w:szCs w:val="20"/>
        </w:rPr>
        <w:t xml:space="preserve">, I., </w:t>
      </w:r>
      <w:proofErr w:type="spellStart"/>
      <w:r>
        <w:rPr>
          <w:rFonts w:ascii="Arial" w:hAnsi="Arial" w:cs="Arial"/>
          <w:color w:val="000000"/>
          <w:sz w:val="20"/>
          <w:szCs w:val="20"/>
        </w:rPr>
        <w:t>Turans</w:t>
      </w:r>
      <w:proofErr w:type="spellEnd"/>
      <w:r>
        <w:rPr>
          <w:rFonts w:ascii="Arial" w:hAnsi="Arial" w:cs="Arial"/>
          <w:color w:val="000000"/>
          <w:sz w:val="20"/>
          <w:szCs w:val="20"/>
        </w:rPr>
        <w:t xml:space="preserve">, M. &amp; </w:t>
      </w:r>
      <w:proofErr w:type="spellStart"/>
      <w:r>
        <w:rPr>
          <w:rFonts w:ascii="Arial" w:hAnsi="Arial" w:cs="Arial"/>
          <w:color w:val="000000"/>
          <w:sz w:val="20"/>
          <w:szCs w:val="20"/>
        </w:rPr>
        <w:t>Karatas</w:t>
      </w:r>
      <w:proofErr w:type="spellEnd"/>
      <w:r>
        <w:rPr>
          <w:rFonts w:ascii="Arial" w:hAnsi="Arial" w:cs="Arial"/>
          <w:color w:val="000000"/>
          <w:sz w:val="20"/>
          <w:szCs w:val="20"/>
        </w:rPr>
        <w:t>, A. (2007).  Effect of foliar urea application on quality, growth, mineral uptake and yield of broccoli (</w:t>
      </w:r>
      <w:r>
        <w:rPr>
          <w:rFonts w:ascii="Arial" w:hAnsi="Arial" w:cs="Arial"/>
          <w:i/>
          <w:iCs/>
          <w:color w:val="000000"/>
          <w:sz w:val="20"/>
          <w:szCs w:val="20"/>
        </w:rPr>
        <w:t xml:space="preserve">Brassica </w:t>
      </w:r>
      <w:proofErr w:type="spellStart"/>
      <w:r>
        <w:rPr>
          <w:rFonts w:ascii="Arial" w:hAnsi="Arial" w:cs="Arial"/>
          <w:i/>
          <w:iCs/>
          <w:color w:val="000000"/>
          <w:sz w:val="20"/>
          <w:szCs w:val="20"/>
        </w:rPr>
        <w:t>oleracea</w:t>
      </w:r>
      <w:proofErr w:type="spellEnd"/>
      <w:r>
        <w:rPr>
          <w:rFonts w:ascii="Arial" w:hAnsi="Arial" w:cs="Arial"/>
          <w:i/>
          <w:iCs/>
          <w:color w:val="000000"/>
          <w:sz w:val="20"/>
          <w:szCs w:val="20"/>
        </w:rPr>
        <w:t xml:space="preserve"> </w:t>
      </w:r>
      <w:r>
        <w:rPr>
          <w:rFonts w:ascii="Arial" w:hAnsi="Arial" w:cs="Arial"/>
          <w:color w:val="000000"/>
          <w:sz w:val="20"/>
          <w:szCs w:val="20"/>
        </w:rPr>
        <w:t xml:space="preserve">L. </w:t>
      </w:r>
      <w:proofErr w:type="spellStart"/>
      <w:r>
        <w:rPr>
          <w:rFonts w:ascii="Arial" w:hAnsi="Arial" w:cs="Arial"/>
          <w:color w:val="000000"/>
          <w:sz w:val="20"/>
          <w:szCs w:val="20"/>
        </w:rPr>
        <w:t>var</w:t>
      </w:r>
      <w:proofErr w:type="spellEnd"/>
      <w:r>
        <w:rPr>
          <w:rFonts w:ascii="Arial" w:hAnsi="Arial" w:cs="Arial"/>
          <w:color w:val="000000"/>
          <w:sz w:val="20"/>
          <w:szCs w:val="20"/>
        </w:rPr>
        <w:t xml:space="preserve"> </w:t>
      </w:r>
      <w:proofErr w:type="spellStart"/>
      <w:r>
        <w:rPr>
          <w:rFonts w:ascii="Arial" w:hAnsi="Arial" w:cs="Arial"/>
          <w:color w:val="000000"/>
          <w:sz w:val="20"/>
          <w:szCs w:val="20"/>
        </w:rPr>
        <w:t>Italica</w:t>
      </w:r>
      <w:proofErr w:type="spellEnd"/>
      <w:r>
        <w:rPr>
          <w:rFonts w:ascii="Arial" w:hAnsi="Arial" w:cs="Arial"/>
          <w:color w:val="000000"/>
          <w:sz w:val="20"/>
          <w:szCs w:val="20"/>
        </w:rPr>
        <w:t xml:space="preserve">). </w:t>
      </w:r>
      <w:r>
        <w:rPr>
          <w:rFonts w:ascii="Arial" w:hAnsi="Arial" w:cs="Arial"/>
          <w:i/>
          <w:iCs/>
          <w:color w:val="000000"/>
          <w:sz w:val="20"/>
          <w:szCs w:val="20"/>
        </w:rPr>
        <w:t>Plant Soil &amp; Environ</w:t>
      </w:r>
      <w:r>
        <w:rPr>
          <w:rFonts w:ascii="Arial" w:hAnsi="Arial" w:cs="Arial"/>
          <w:i/>
          <w:color w:val="000000"/>
          <w:sz w:val="20"/>
          <w:szCs w:val="20"/>
        </w:rPr>
        <w:t xml:space="preserve">. </w:t>
      </w:r>
      <w:r w:rsidRPr="00C1067D">
        <w:rPr>
          <w:rFonts w:ascii="Arial" w:hAnsi="Arial" w:cs="Arial"/>
          <w:i/>
          <w:color w:val="000000"/>
          <w:sz w:val="20"/>
          <w:szCs w:val="20"/>
        </w:rPr>
        <w:t>53</w:t>
      </w:r>
      <w:r w:rsidRPr="00C1067D">
        <w:rPr>
          <w:rFonts w:ascii="Arial" w:hAnsi="Arial" w:cs="Arial"/>
          <w:bCs/>
          <w:i/>
          <w:color w:val="000000"/>
          <w:sz w:val="20"/>
          <w:szCs w:val="20"/>
        </w:rPr>
        <w:t>:</w:t>
      </w:r>
      <w:r w:rsidRPr="00C1067D">
        <w:rPr>
          <w:rFonts w:ascii="Arial" w:hAnsi="Arial" w:cs="Arial"/>
          <w:i/>
          <w:color w:val="000000"/>
          <w:sz w:val="20"/>
          <w:szCs w:val="20"/>
        </w:rPr>
        <w:t>120–128</w:t>
      </w:r>
      <w:r>
        <w:rPr>
          <w:rFonts w:ascii="Arial" w:hAnsi="Arial" w:cs="Arial"/>
          <w:i/>
          <w:color w:val="000000"/>
          <w:sz w:val="20"/>
          <w:szCs w:val="20"/>
        </w:rPr>
        <w:t>.</w:t>
      </w:r>
    </w:p>
    <w:p w:rsidR="00CD528E" w:rsidRDefault="00CD528E" w:rsidP="00CD528E">
      <w:pPr>
        <w:spacing w:after="0" w:line="360" w:lineRule="auto"/>
        <w:ind w:left="567" w:hanging="567"/>
        <w:contextualSpacing/>
        <w:jc w:val="both"/>
        <w:rPr>
          <w:rFonts w:ascii="Arial" w:hAnsi="Arial" w:cs="Arial"/>
          <w:i/>
          <w:sz w:val="20"/>
          <w:szCs w:val="20"/>
        </w:rPr>
      </w:pPr>
      <w:proofErr w:type="spellStart"/>
      <w:r>
        <w:rPr>
          <w:rFonts w:ascii="Arial" w:hAnsi="Arial" w:cs="Arial"/>
          <w:sz w:val="20"/>
          <w:szCs w:val="20"/>
        </w:rPr>
        <w:t>Zhai</w:t>
      </w:r>
      <w:proofErr w:type="spellEnd"/>
      <w:r>
        <w:rPr>
          <w:rFonts w:ascii="Arial" w:hAnsi="Arial" w:cs="Arial"/>
          <w:sz w:val="20"/>
          <w:szCs w:val="20"/>
        </w:rPr>
        <w:t xml:space="preserve">, Z., </w:t>
      </w:r>
      <w:proofErr w:type="spellStart"/>
      <w:r>
        <w:rPr>
          <w:rFonts w:ascii="Arial" w:hAnsi="Arial" w:cs="Arial"/>
          <w:sz w:val="20"/>
          <w:szCs w:val="20"/>
        </w:rPr>
        <w:t>Ehret</w:t>
      </w:r>
      <w:proofErr w:type="spellEnd"/>
      <w:r>
        <w:rPr>
          <w:rFonts w:ascii="Arial" w:hAnsi="Arial" w:cs="Arial"/>
          <w:sz w:val="20"/>
          <w:szCs w:val="20"/>
        </w:rPr>
        <w:t xml:space="preserve">, D.L., Forge, T., Lin, W., </w:t>
      </w:r>
      <w:proofErr w:type="spellStart"/>
      <w:r>
        <w:rPr>
          <w:rFonts w:ascii="Arial" w:hAnsi="Arial" w:cs="Arial"/>
          <w:sz w:val="20"/>
          <w:szCs w:val="20"/>
        </w:rPr>
        <w:t>Dorais</w:t>
      </w:r>
      <w:proofErr w:type="spellEnd"/>
      <w:r>
        <w:rPr>
          <w:rFonts w:ascii="Arial" w:hAnsi="Arial" w:cs="Arial"/>
          <w:sz w:val="20"/>
          <w:szCs w:val="20"/>
        </w:rPr>
        <w:t xml:space="preserve">, M. &amp; Papadopoulos, P.A. (2009). Organic fertilizers for greenhouse tomatoes: productivity and substrate microbiology. </w:t>
      </w:r>
      <w:proofErr w:type="spellStart"/>
      <w:r>
        <w:rPr>
          <w:rFonts w:ascii="Arial" w:hAnsi="Arial" w:cs="Arial"/>
          <w:i/>
          <w:sz w:val="20"/>
          <w:szCs w:val="20"/>
        </w:rPr>
        <w:t>HortScience</w:t>
      </w:r>
      <w:proofErr w:type="spellEnd"/>
      <w:r>
        <w:rPr>
          <w:rFonts w:ascii="Arial" w:hAnsi="Arial" w:cs="Arial"/>
          <w:i/>
          <w:sz w:val="20"/>
          <w:szCs w:val="20"/>
        </w:rPr>
        <w:t>.  44: 800</w:t>
      </w:r>
      <w:r>
        <w:rPr>
          <w:rFonts w:ascii="Arial" w:hAnsi="Arial" w:cs="Arial"/>
          <w:color w:val="000000"/>
          <w:sz w:val="20"/>
          <w:szCs w:val="20"/>
        </w:rPr>
        <w:t>–</w:t>
      </w:r>
      <w:r>
        <w:rPr>
          <w:rFonts w:ascii="Arial" w:hAnsi="Arial" w:cs="Arial"/>
          <w:i/>
          <w:sz w:val="20"/>
          <w:szCs w:val="20"/>
        </w:rPr>
        <w:t>809.</w:t>
      </w:r>
    </w:p>
    <w:p w:rsidR="00CD528E" w:rsidRDefault="00CD528E" w:rsidP="00CD528E">
      <w:pPr>
        <w:pStyle w:val="ListParagraph"/>
        <w:spacing w:line="240" w:lineRule="auto"/>
        <w:ind w:left="0"/>
        <w:jc w:val="center"/>
        <w:rPr>
          <w:rFonts w:ascii="Arial" w:hAnsi="Arial" w:cs="Arial"/>
          <w:b/>
          <w:sz w:val="20"/>
          <w:szCs w:val="20"/>
          <w:lang w:val="en-US"/>
        </w:rPr>
      </w:pPr>
    </w:p>
    <w:p w:rsidR="00CD528E" w:rsidRDefault="00CD528E" w:rsidP="00CD528E">
      <w:pPr>
        <w:pStyle w:val="ListParagraph"/>
        <w:spacing w:line="240" w:lineRule="auto"/>
        <w:ind w:left="0"/>
        <w:jc w:val="center"/>
        <w:rPr>
          <w:rFonts w:ascii="Arial" w:hAnsi="Arial" w:cs="Arial"/>
          <w:b/>
          <w:sz w:val="20"/>
          <w:szCs w:val="20"/>
          <w:lang w:val="en-US"/>
        </w:rPr>
      </w:pPr>
    </w:p>
    <w:p w:rsidR="0036680B" w:rsidRDefault="0036680B" w:rsidP="00CD528E">
      <w:pPr>
        <w:pStyle w:val="ListParagraph"/>
        <w:spacing w:line="240" w:lineRule="auto"/>
        <w:ind w:left="0"/>
        <w:jc w:val="center"/>
        <w:rPr>
          <w:rFonts w:ascii="Arial" w:hAnsi="Arial" w:cs="Arial"/>
          <w:b/>
          <w:sz w:val="20"/>
          <w:szCs w:val="20"/>
          <w:lang w:val="en-US"/>
        </w:rPr>
      </w:pPr>
    </w:p>
    <w:p w:rsidR="00CD528E" w:rsidRPr="0036680B" w:rsidRDefault="00CD528E" w:rsidP="00CD528E">
      <w:pPr>
        <w:spacing w:after="120" w:line="240" w:lineRule="auto"/>
        <w:ind w:left="851" w:hanging="851"/>
        <w:contextualSpacing/>
        <w:jc w:val="both"/>
        <w:rPr>
          <w:rStyle w:val="Strong"/>
          <w:rFonts w:ascii="Arial" w:hAnsi="Arial" w:cs="Arial"/>
          <w:b w:val="0"/>
          <w:sz w:val="20"/>
          <w:szCs w:val="20"/>
        </w:rPr>
      </w:pPr>
      <w:r w:rsidRPr="0036680B">
        <w:rPr>
          <w:rFonts w:ascii="Arial" w:hAnsi="Arial" w:cs="Arial"/>
          <w:sz w:val="20"/>
          <w:szCs w:val="20"/>
        </w:rPr>
        <w:t>Table 1.  Means values of weight of husked ear, length of unhusked ear, weight of unhusked ear, and diameter of unhusked ear of sweet corn as affected by application techniques and concentrations of</w:t>
      </w:r>
      <w:r w:rsidRPr="0036680B">
        <w:rPr>
          <w:rFonts w:ascii="Arial" w:hAnsi="Arial" w:cs="Arial"/>
          <w:b/>
          <w:sz w:val="20"/>
          <w:szCs w:val="20"/>
        </w:rPr>
        <w:t xml:space="preserve"> </w:t>
      </w:r>
      <w:proofErr w:type="spellStart"/>
      <w:r w:rsidRPr="0036680B">
        <w:rPr>
          <w:rStyle w:val="Strong"/>
          <w:rFonts w:ascii="Arial" w:hAnsi="Arial" w:cs="Arial"/>
          <w:b w:val="0"/>
          <w:sz w:val="20"/>
          <w:szCs w:val="20"/>
        </w:rPr>
        <w:t>tithonia</w:t>
      </w:r>
      <w:proofErr w:type="spellEnd"/>
      <w:r w:rsidRPr="0036680B">
        <w:rPr>
          <w:rStyle w:val="Strong"/>
          <w:rFonts w:ascii="Arial" w:hAnsi="Arial" w:cs="Arial"/>
          <w:b w:val="0"/>
          <w:sz w:val="20"/>
          <w:szCs w:val="20"/>
        </w:rPr>
        <w:t>-enriched liquid organic fertilizer</w:t>
      </w:r>
    </w:p>
    <w:p w:rsidR="00CD528E" w:rsidRDefault="00CD528E" w:rsidP="00CD528E">
      <w:pPr>
        <w:spacing w:after="0" w:line="240" w:lineRule="auto"/>
        <w:ind w:left="851" w:hanging="851"/>
        <w:contextualSpacing/>
        <w:rPr>
          <w:rFonts w:ascii="Arial" w:hAnsi="Arial" w:cs="Arial"/>
          <w:sz w:val="20"/>
          <w:szCs w:val="20"/>
        </w:rPr>
      </w:pPr>
      <w:r>
        <w:rPr>
          <w:rFonts w:ascii="Arial" w:hAnsi="Arial" w:cs="Arial"/>
          <w:sz w:val="20"/>
          <w:szCs w:val="20"/>
        </w:rPr>
        <w:t xml:space="preserve"> </w:t>
      </w:r>
    </w:p>
    <w:tbl>
      <w:tblPr>
        <w:tblStyle w:val="TableGrid"/>
        <w:tblW w:w="8351" w:type="dxa"/>
        <w:tblInd w:w="109" w:type="dxa"/>
        <w:tblLayout w:type="fixed"/>
        <w:tblLook w:val="04A0" w:firstRow="1" w:lastRow="0" w:firstColumn="1" w:lastColumn="0" w:noHBand="0" w:noVBand="1"/>
      </w:tblPr>
      <w:tblGrid>
        <w:gridCol w:w="2771"/>
        <w:gridCol w:w="1530"/>
        <w:gridCol w:w="1440"/>
        <w:gridCol w:w="1350"/>
        <w:gridCol w:w="1260"/>
      </w:tblGrid>
      <w:tr w:rsidR="00CD528E" w:rsidTr="00BA3559">
        <w:tc>
          <w:tcPr>
            <w:tcW w:w="2771" w:type="dxa"/>
            <w:tcBorders>
              <w:top w:val="single" w:sz="4" w:space="0" w:color="000001"/>
              <w:left w:val="nil"/>
              <w:bottom w:val="single" w:sz="4" w:space="0" w:color="000001"/>
              <w:right w:val="nil"/>
            </w:tcBorders>
            <w:shd w:val="clear" w:color="auto" w:fill="auto"/>
          </w:tcPr>
          <w:p w:rsidR="00CD528E" w:rsidRDefault="00CD528E" w:rsidP="00BA3559">
            <w:pPr>
              <w:rPr>
                <w:rFonts w:ascii="Arial" w:hAnsi="Arial" w:cs="Arial"/>
                <w:sz w:val="18"/>
                <w:szCs w:val="18"/>
              </w:rPr>
            </w:pPr>
            <w:r>
              <w:rPr>
                <w:rFonts w:ascii="Arial" w:hAnsi="Arial" w:cs="Arial"/>
                <w:sz w:val="18"/>
                <w:szCs w:val="18"/>
              </w:rPr>
              <w:t>Treatments</w:t>
            </w:r>
          </w:p>
        </w:tc>
        <w:tc>
          <w:tcPr>
            <w:tcW w:w="1530" w:type="dxa"/>
            <w:tcBorders>
              <w:top w:val="single" w:sz="4" w:space="0" w:color="000001"/>
              <w:left w:val="nil"/>
              <w:bottom w:val="single" w:sz="4" w:space="0" w:color="000001"/>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Weight of husked ear</w:t>
            </w:r>
          </w:p>
          <w:p w:rsidR="00CD528E" w:rsidRDefault="00CD528E" w:rsidP="00BA3559">
            <w:pPr>
              <w:jc w:val="center"/>
              <w:rPr>
                <w:rFonts w:ascii="Arial" w:hAnsi="Arial" w:cs="Arial"/>
                <w:sz w:val="18"/>
                <w:szCs w:val="18"/>
              </w:rPr>
            </w:pPr>
            <w:r>
              <w:rPr>
                <w:rFonts w:ascii="Arial" w:hAnsi="Arial" w:cs="Arial"/>
                <w:sz w:val="18"/>
                <w:szCs w:val="18"/>
              </w:rPr>
              <w:t>(g)</w:t>
            </w:r>
          </w:p>
        </w:tc>
        <w:tc>
          <w:tcPr>
            <w:tcW w:w="1440" w:type="dxa"/>
            <w:tcBorders>
              <w:top w:val="single" w:sz="4" w:space="0" w:color="000001"/>
              <w:left w:val="nil"/>
              <w:bottom w:val="single" w:sz="4" w:space="0" w:color="000001"/>
              <w:right w:val="nil"/>
            </w:tcBorders>
            <w:shd w:val="clear" w:color="auto" w:fill="auto"/>
          </w:tcPr>
          <w:p w:rsidR="00CD528E" w:rsidRDefault="00CD528E" w:rsidP="00BA3559">
            <w:pPr>
              <w:ind w:left="-23" w:right="-108"/>
              <w:jc w:val="center"/>
              <w:rPr>
                <w:rFonts w:ascii="Arial" w:hAnsi="Arial" w:cs="Arial"/>
                <w:sz w:val="18"/>
                <w:szCs w:val="18"/>
              </w:rPr>
            </w:pPr>
            <w:r>
              <w:rPr>
                <w:rFonts w:ascii="Arial" w:hAnsi="Arial" w:cs="Arial"/>
                <w:sz w:val="18"/>
                <w:szCs w:val="18"/>
              </w:rPr>
              <w:t>Length of unhusked ear (cm)</w:t>
            </w:r>
          </w:p>
        </w:tc>
        <w:tc>
          <w:tcPr>
            <w:tcW w:w="1350" w:type="dxa"/>
            <w:tcBorders>
              <w:top w:val="single" w:sz="4" w:space="0" w:color="000001"/>
              <w:left w:val="nil"/>
              <w:bottom w:val="single" w:sz="4" w:space="0" w:color="000001"/>
              <w:right w:val="nil"/>
            </w:tcBorders>
            <w:shd w:val="clear" w:color="auto" w:fill="auto"/>
          </w:tcPr>
          <w:p w:rsidR="00CD528E" w:rsidRDefault="00CD528E" w:rsidP="00BA3559">
            <w:pPr>
              <w:ind w:left="75" w:right="-108"/>
              <w:jc w:val="center"/>
              <w:rPr>
                <w:rFonts w:ascii="Arial" w:hAnsi="Arial" w:cs="Arial"/>
                <w:sz w:val="18"/>
                <w:szCs w:val="18"/>
              </w:rPr>
            </w:pPr>
            <w:r>
              <w:rPr>
                <w:rFonts w:ascii="Arial" w:hAnsi="Arial" w:cs="Arial"/>
                <w:sz w:val="18"/>
                <w:szCs w:val="18"/>
              </w:rPr>
              <w:t>Weight of unhusked ear (g)</w:t>
            </w:r>
          </w:p>
        </w:tc>
        <w:tc>
          <w:tcPr>
            <w:tcW w:w="1260" w:type="dxa"/>
            <w:tcBorders>
              <w:top w:val="single" w:sz="4" w:space="0" w:color="000001"/>
              <w:left w:val="nil"/>
              <w:bottom w:val="single" w:sz="4" w:space="0" w:color="000001"/>
              <w:right w:val="nil"/>
            </w:tcBorders>
            <w:shd w:val="clear" w:color="auto" w:fill="auto"/>
          </w:tcPr>
          <w:p w:rsidR="00CD528E" w:rsidRDefault="00CD528E" w:rsidP="00BA3559">
            <w:pPr>
              <w:ind w:right="-108" w:hanging="8"/>
              <w:jc w:val="center"/>
              <w:rPr>
                <w:rFonts w:ascii="Arial" w:hAnsi="Arial" w:cs="Arial"/>
                <w:sz w:val="18"/>
                <w:szCs w:val="18"/>
              </w:rPr>
            </w:pPr>
            <w:r>
              <w:rPr>
                <w:rFonts w:ascii="Arial" w:hAnsi="Arial" w:cs="Arial"/>
                <w:sz w:val="18"/>
                <w:szCs w:val="18"/>
              </w:rPr>
              <w:t>Diameter of unhusked ear (cm)</w:t>
            </w:r>
          </w:p>
        </w:tc>
      </w:tr>
      <w:tr w:rsidR="00CD528E" w:rsidTr="00BA3559">
        <w:tc>
          <w:tcPr>
            <w:tcW w:w="2771" w:type="dxa"/>
            <w:tcBorders>
              <w:top w:val="single" w:sz="4" w:space="0" w:color="000001"/>
              <w:left w:val="nil"/>
              <w:bottom w:val="nil"/>
              <w:right w:val="nil"/>
            </w:tcBorders>
            <w:shd w:val="clear" w:color="auto" w:fill="auto"/>
          </w:tcPr>
          <w:p w:rsidR="00CD528E" w:rsidRDefault="00CD528E" w:rsidP="00BA3559">
            <w:pPr>
              <w:rPr>
                <w:rFonts w:ascii="Arial" w:hAnsi="Arial" w:cs="Arial"/>
                <w:sz w:val="18"/>
                <w:szCs w:val="18"/>
              </w:rPr>
            </w:pPr>
            <w:r>
              <w:rPr>
                <w:rFonts w:ascii="Arial" w:hAnsi="Arial" w:cs="Arial"/>
                <w:sz w:val="18"/>
                <w:szCs w:val="18"/>
              </w:rPr>
              <w:t>Application Techniques (A)</w:t>
            </w:r>
          </w:p>
        </w:tc>
        <w:tc>
          <w:tcPr>
            <w:tcW w:w="1530" w:type="dxa"/>
            <w:tcBorders>
              <w:top w:val="single" w:sz="4" w:space="0" w:color="000001"/>
              <w:left w:val="nil"/>
              <w:bottom w:val="nil"/>
              <w:right w:val="nil"/>
            </w:tcBorders>
            <w:shd w:val="clear" w:color="auto" w:fill="auto"/>
          </w:tcPr>
          <w:p w:rsidR="00CD528E" w:rsidRDefault="00CD528E" w:rsidP="00BA3559">
            <w:pPr>
              <w:jc w:val="center"/>
              <w:rPr>
                <w:rFonts w:ascii="Arial" w:hAnsi="Arial" w:cs="Arial"/>
              </w:rPr>
            </w:pPr>
          </w:p>
        </w:tc>
        <w:tc>
          <w:tcPr>
            <w:tcW w:w="1440" w:type="dxa"/>
            <w:tcBorders>
              <w:top w:val="single" w:sz="4" w:space="0" w:color="000001"/>
              <w:left w:val="nil"/>
              <w:bottom w:val="nil"/>
              <w:right w:val="nil"/>
            </w:tcBorders>
            <w:shd w:val="clear" w:color="auto" w:fill="auto"/>
          </w:tcPr>
          <w:p w:rsidR="00CD528E" w:rsidRDefault="00CD528E" w:rsidP="00BA3559">
            <w:pPr>
              <w:jc w:val="center"/>
              <w:rPr>
                <w:rFonts w:ascii="Arial" w:hAnsi="Arial" w:cs="Arial"/>
              </w:rPr>
            </w:pPr>
          </w:p>
        </w:tc>
        <w:tc>
          <w:tcPr>
            <w:tcW w:w="1350" w:type="dxa"/>
            <w:tcBorders>
              <w:top w:val="single" w:sz="4" w:space="0" w:color="000001"/>
              <w:left w:val="nil"/>
              <w:bottom w:val="nil"/>
              <w:right w:val="nil"/>
            </w:tcBorders>
            <w:shd w:val="clear" w:color="auto" w:fill="auto"/>
          </w:tcPr>
          <w:p w:rsidR="00CD528E" w:rsidRDefault="00CD528E" w:rsidP="00BA3559">
            <w:pPr>
              <w:jc w:val="center"/>
              <w:rPr>
                <w:rFonts w:ascii="Arial" w:hAnsi="Arial" w:cs="Arial"/>
              </w:rPr>
            </w:pPr>
          </w:p>
        </w:tc>
        <w:tc>
          <w:tcPr>
            <w:tcW w:w="1260" w:type="dxa"/>
            <w:tcBorders>
              <w:top w:val="single" w:sz="4" w:space="0" w:color="000001"/>
              <w:left w:val="nil"/>
              <w:bottom w:val="nil"/>
              <w:right w:val="nil"/>
            </w:tcBorders>
            <w:shd w:val="clear" w:color="auto" w:fill="auto"/>
          </w:tcPr>
          <w:p w:rsidR="00CD528E" w:rsidRDefault="00CD528E" w:rsidP="00BA3559">
            <w:pPr>
              <w:jc w:val="center"/>
              <w:rPr>
                <w:rFonts w:ascii="Arial" w:hAnsi="Arial" w:cs="Arial"/>
              </w:rPr>
            </w:pP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Soil</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235.17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17.09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171.05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4.58 a</w:t>
            </w:r>
          </w:p>
        </w:tc>
      </w:tr>
      <w:tr w:rsidR="00CD528E" w:rsidTr="00BA3559">
        <w:tc>
          <w:tcPr>
            <w:tcW w:w="2771" w:type="dxa"/>
            <w:tcBorders>
              <w:top w:val="nil"/>
              <w:left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Foliar</w:t>
            </w:r>
          </w:p>
        </w:tc>
        <w:tc>
          <w:tcPr>
            <w:tcW w:w="153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236.51 a</w:t>
            </w:r>
          </w:p>
        </w:tc>
        <w:tc>
          <w:tcPr>
            <w:tcW w:w="144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16.79 a</w:t>
            </w:r>
          </w:p>
        </w:tc>
        <w:tc>
          <w:tcPr>
            <w:tcW w:w="135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176.34 a</w:t>
            </w:r>
          </w:p>
        </w:tc>
        <w:tc>
          <w:tcPr>
            <w:tcW w:w="126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4.54 a</w:t>
            </w:r>
          </w:p>
        </w:tc>
      </w:tr>
      <w:tr w:rsidR="00CD528E" w:rsidTr="00BA3559">
        <w:tc>
          <w:tcPr>
            <w:tcW w:w="2771" w:type="dxa"/>
            <w:tcBorders>
              <w:left w:val="nil"/>
              <w:right w:val="nil"/>
            </w:tcBorders>
            <w:shd w:val="clear" w:color="auto" w:fill="auto"/>
          </w:tcPr>
          <w:p w:rsidR="00CD528E" w:rsidRDefault="00CD528E" w:rsidP="00BA3559">
            <w:pPr>
              <w:rPr>
                <w:rFonts w:ascii="Arial" w:hAnsi="Arial" w:cs="Arial"/>
                <w:sz w:val="18"/>
                <w:szCs w:val="18"/>
              </w:rPr>
            </w:pPr>
            <w:r>
              <w:rPr>
                <w:rFonts w:ascii="Arial" w:hAnsi="Arial" w:cs="Arial"/>
                <w:sz w:val="18"/>
                <w:szCs w:val="18"/>
              </w:rPr>
              <w:t>Prob. F &gt; 5%</w:t>
            </w:r>
          </w:p>
        </w:tc>
        <w:tc>
          <w:tcPr>
            <w:tcW w:w="153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0.9181</w:t>
            </w:r>
          </w:p>
        </w:tc>
        <w:tc>
          <w:tcPr>
            <w:tcW w:w="144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0.3247</w:t>
            </w:r>
          </w:p>
        </w:tc>
        <w:tc>
          <w:tcPr>
            <w:tcW w:w="135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0.52 </w:t>
            </w:r>
          </w:p>
        </w:tc>
        <w:tc>
          <w:tcPr>
            <w:tcW w:w="126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0.57</w:t>
            </w:r>
          </w:p>
        </w:tc>
      </w:tr>
      <w:tr w:rsidR="00CD528E" w:rsidTr="00BA3559">
        <w:tc>
          <w:tcPr>
            <w:tcW w:w="2771" w:type="dxa"/>
            <w:tcBorders>
              <w:left w:val="nil"/>
              <w:bottom w:val="nil"/>
              <w:right w:val="nil"/>
            </w:tcBorders>
            <w:shd w:val="clear" w:color="auto" w:fill="auto"/>
          </w:tcPr>
          <w:p w:rsidR="00CD528E" w:rsidRDefault="00CD528E" w:rsidP="00BA3559">
            <w:pPr>
              <w:rPr>
                <w:rFonts w:ascii="Arial" w:hAnsi="Arial" w:cs="Arial"/>
                <w:sz w:val="18"/>
                <w:szCs w:val="18"/>
              </w:rPr>
            </w:pPr>
            <w:r>
              <w:rPr>
                <w:rFonts w:ascii="Arial" w:hAnsi="Arial" w:cs="Arial"/>
                <w:sz w:val="18"/>
                <w:szCs w:val="18"/>
              </w:rPr>
              <w:t>Concentrations (B)</w:t>
            </w:r>
          </w:p>
        </w:tc>
        <w:tc>
          <w:tcPr>
            <w:tcW w:w="1530" w:type="dxa"/>
            <w:tcBorders>
              <w:left w:val="nil"/>
              <w:bottom w:val="nil"/>
              <w:right w:val="nil"/>
            </w:tcBorders>
            <w:shd w:val="clear" w:color="auto" w:fill="auto"/>
          </w:tcPr>
          <w:p w:rsidR="00CD528E" w:rsidRDefault="00CD528E" w:rsidP="00BA3559">
            <w:pPr>
              <w:jc w:val="center"/>
              <w:rPr>
                <w:rFonts w:ascii="Arial" w:hAnsi="Arial" w:cs="Arial"/>
              </w:rPr>
            </w:pPr>
          </w:p>
        </w:tc>
        <w:tc>
          <w:tcPr>
            <w:tcW w:w="1440" w:type="dxa"/>
            <w:tcBorders>
              <w:left w:val="nil"/>
              <w:bottom w:val="nil"/>
              <w:right w:val="nil"/>
            </w:tcBorders>
            <w:shd w:val="clear" w:color="auto" w:fill="auto"/>
          </w:tcPr>
          <w:p w:rsidR="00CD528E" w:rsidRDefault="00CD528E" w:rsidP="00BA3559">
            <w:pPr>
              <w:jc w:val="center"/>
              <w:rPr>
                <w:rFonts w:ascii="Arial" w:hAnsi="Arial" w:cs="Arial"/>
              </w:rPr>
            </w:pPr>
          </w:p>
        </w:tc>
        <w:tc>
          <w:tcPr>
            <w:tcW w:w="1350" w:type="dxa"/>
            <w:tcBorders>
              <w:left w:val="nil"/>
              <w:bottom w:val="nil"/>
              <w:right w:val="nil"/>
            </w:tcBorders>
            <w:shd w:val="clear" w:color="auto" w:fill="auto"/>
          </w:tcPr>
          <w:p w:rsidR="00CD528E" w:rsidRDefault="00CD528E" w:rsidP="00BA3559">
            <w:pPr>
              <w:jc w:val="center"/>
              <w:rPr>
                <w:rFonts w:ascii="Arial" w:hAnsi="Arial" w:cs="Arial"/>
              </w:rPr>
            </w:pPr>
          </w:p>
        </w:tc>
        <w:tc>
          <w:tcPr>
            <w:tcW w:w="1260" w:type="dxa"/>
            <w:tcBorders>
              <w:left w:val="nil"/>
              <w:bottom w:val="nil"/>
              <w:right w:val="nil"/>
            </w:tcBorders>
            <w:shd w:val="clear" w:color="auto" w:fill="auto"/>
          </w:tcPr>
          <w:p w:rsidR="00CD528E" w:rsidRDefault="00CD528E" w:rsidP="00BA3559">
            <w:pPr>
              <w:jc w:val="center"/>
              <w:rPr>
                <w:rFonts w:ascii="Arial" w:hAnsi="Arial" w:cs="Arial"/>
              </w:rPr>
            </w:pP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220.43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16.63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165.50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4.50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25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232.28 a </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17.10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171.52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4.53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50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225.52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16.88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168.75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4.57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75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270.63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17.45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187.75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4.71 a</w:t>
            </w:r>
          </w:p>
        </w:tc>
      </w:tr>
      <w:tr w:rsidR="00CD528E" w:rsidTr="00BA3559">
        <w:tc>
          <w:tcPr>
            <w:tcW w:w="2771" w:type="dxa"/>
            <w:tcBorders>
              <w:top w:val="nil"/>
              <w:left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100 ppm</w:t>
            </w:r>
          </w:p>
        </w:tc>
        <w:tc>
          <w:tcPr>
            <w:tcW w:w="153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230.33 a </w:t>
            </w:r>
          </w:p>
        </w:tc>
        <w:tc>
          <w:tcPr>
            <w:tcW w:w="144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16.64 a</w:t>
            </w:r>
          </w:p>
        </w:tc>
        <w:tc>
          <w:tcPr>
            <w:tcW w:w="135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174.97 a</w:t>
            </w:r>
          </w:p>
        </w:tc>
        <w:tc>
          <w:tcPr>
            <w:tcW w:w="126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4.48 a</w:t>
            </w:r>
          </w:p>
        </w:tc>
      </w:tr>
      <w:tr w:rsidR="00CD528E" w:rsidTr="00BA3559">
        <w:tc>
          <w:tcPr>
            <w:tcW w:w="2771" w:type="dxa"/>
            <w:tcBorders>
              <w:left w:val="nil"/>
              <w:right w:val="nil"/>
            </w:tcBorders>
            <w:shd w:val="clear" w:color="auto" w:fill="auto"/>
          </w:tcPr>
          <w:p w:rsidR="00CD528E" w:rsidRDefault="00CD528E" w:rsidP="00BA3559">
            <w:pPr>
              <w:ind w:left="720" w:firstLine="34"/>
              <w:rPr>
                <w:rFonts w:ascii="Arial" w:hAnsi="Arial" w:cs="Arial"/>
                <w:sz w:val="18"/>
                <w:szCs w:val="18"/>
              </w:rPr>
            </w:pPr>
            <w:r>
              <w:rPr>
                <w:rFonts w:ascii="Arial" w:hAnsi="Arial" w:cs="Arial"/>
                <w:sz w:val="18"/>
                <w:szCs w:val="18"/>
              </w:rPr>
              <w:t>Prob. F &gt; 5%</w:t>
            </w:r>
          </w:p>
        </w:tc>
        <w:tc>
          <w:tcPr>
            <w:tcW w:w="153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0.1516</w:t>
            </w:r>
          </w:p>
        </w:tc>
        <w:tc>
          <w:tcPr>
            <w:tcW w:w="144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0.4227</w:t>
            </w:r>
          </w:p>
        </w:tc>
        <w:tc>
          <w:tcPr>
            <w:tcW w:w="135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0.4872</w:t>
            </w:r>
          </w:p>
        </w:tc>
        <w:tc>
          <w:tcPr>
            <w:tcW w:w="126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0.4041 </w:t>
            </w:r>
          </w:p>
        </w:tc>
      </w:tr>
      <w:tr w:rsidR="00CD528E" w:rsidTr="00BA3559">
        <w:tc>
          <w:tcPr>
            <w:tcW w:w="2771" w:type="dxa"/>
            <w:tcBorders>
              <w:left w:val="nil"/>
              <w:bottom w:val="nil"/>
              <w:right w:val="nil"/>
            </w:tcBorders>
            <w:shd w:val="clear" w:color="auto" w:fill="auto"/>
          </w:tcPr>
          <w:p w:rsidR="00CD528E" w:rsidRDefault="00CD528E" w:rsidP="00BA3559">
            <w:pPr>
              <w:rPr>
                <w:rFonts w:ascii="Arial" w:hAnsi="Arial" w:cs="Arial"/>
                <w:sz w:val="18"/>
                <w:szCs w:val="18"/>
              </w:rPr>
            </w:pPr>
            <w:r>
              <w:rPr>
                <w:rFonts w:ascii="Arial" w:hAnsi="Arial" w:cs="Arial"/>
                <w:sz w:val="18"/>
                <w:szCs w:val="18"/>
              </w:rPr>
              <w:t>Interactions (</w:t>
            </w:r>
            <w:proofErr w:type="spellStart"/>
            <w:r>
              <w:rPr>
                <w:rFonts w:ascii="Arial" w:hAnsi="Arial" w:cs="Arial"/>
                <w:sz w:val="18"/>
                <w:szCs w:val="18"/>
              </w:rPr>
              <w:t>AxB</w:t>
            </w:r>
            <w:proofErr w:type="spellEnd"/>
            <w:r>
              <w:rPr>
                <w:rFonts w:ascii="Arial" w:hAnsi="Arial" w:cs="Arial"/>
                <w:sz w:val="18"/>
                <w:szCs w:val="18"/>
              </w:rPr>
              <w:t>)</w:t>
            </w:r>
          </w:p>
        </w:tc>
        <w:tc>
          <w:tcPr>
            <w:tcW w:w="1530" w:type="dxa"/>
            <w:tcBorders>
              <w:left w:val="nil"/>
              <w:bottom w:val="nil"/>
              <w:right w:val="nil"/>
            </w:tcBorders>
            <w:shd w:val="clear" w:color="auto" w:fill="auto"/>
          </w:tcPr>
          <w:p w:rsidR="00CD528E" w:rsidRDefault="00CD528E" w:rsidP="00BA3559">
            <w:pPr>
              <w:jc w:val="center"/>
              <w:rPr>
                <w:rFonts w:ascii="Arial" w:hAnsi="Arial" w:cs="Arial"/>
              </w:rPr>
            </w:pPr>
          </w:p>
        </w:tc>
        <w:tc>
          <w:tcPr>
            <w:tcW w:w="1440" w:type="dxa"/>
            <w:tcBorders>
              <w:left w:val="nil"/>
              <w:bottom w:val="nil"/>
              <w:right w:val="nil"/>
            </w:tcBorders>
            <w:shd w:val="clear" w:color="auto" w:fill="auto"/>
          </w:tcPr>
          <w:p w:rsidR="00CD528E" w:rsidRDefault="00CD528E" w:rsidP="00BA3559">
            <w:pPr>
              <w:jc w:val="center"/>
              <w:rPr>
                <w:rFonts w:ascii="Arial" w:hAnsi="Arial" w:cs="Arial"/>
              </w:rPr>
            </w:pPr>
          </w:p>
        </w:tc>
        <w:tc>
          <w:tcPr>
            <w:tcW w:w="1350" w:type="dxa"/>
            <w:tcBorders>
              <w:left w:val="nil"/>
              <w:bottom w:val="nil"/>
              <w:right w:val="nil"/>
            </w:tcBorders>
            <w:shd w:val="clear" w:color="auto" w:fill="auto"/>
          </w:tcPr>
          <w:p w:rsidR="00CD528E" w:rsidRDefault="00CD528E" w:rsidP="00BA3559">
            <w:pPr>
              <w:jc w:val="center"/>
              <w:rPr>
                <w:rFonts w:ascii="Arial" w:hAnsi="Arial" w:cs="Arial"/>
              </w:rPr>
            </w:pPr>
          </w:p>
        </w:tc>
        <w:tc>
          <w:tcPr>
            <w:tcW w:w="1260" w:type="dxa"/>
            <w:tcBorders>
              <w:left w:val="nil"/>
              <w:bottom w:val="nil"/>
              <w:right w:val="nil"/>
            </w:tcBorders>
            <w:shd w:val="clear" w:color="auto" w:fill="auto"/>
          </w:tcPr>
          <w:p w:rsidR="00CD528E" w:rsidRDefault="00CD528E" w:rsidP="00BA3559">
            <w:pPr>
              <w:jc w:val="center"/>
              <w:rPr>
                <w:rFonts w:ascii="Arial" w:hAnsi="Arial" w:cs="Arial"/>
              </w:rPr>
            </w:pP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Soil x 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226.77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16.85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171.70 a </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44.74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Soil x 25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212.67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17.12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159.47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45.99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Soil x 50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211.70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16.80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156.00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45.25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Soil x 75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305.73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17.73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196.67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47.19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Soil x 100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218.96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16.97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171.43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45.92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Foliar x 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214.10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16.41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159.30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45.29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Foliar x 25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251.90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17.09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183.57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44.64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Foliar x 50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239.33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16.96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181.50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46.15 a</w:t>
            </w:r>
          </w:p>
        </w:tc>
      </w:tr>
      <w:tr w:rsidR="00CD528E" w:rsidTr="00BA3559">
        <w:tc>
          <w:tcPr>
            <w:tcW w:w="2771" w:type="dxa"/>
            <w:tcBorders>
              <w:top w:val="nil"/>
              <w:left w:val="nil"/>
              <w:bottom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Foliar x 75 ppm</w:t>
            </w:r>
          </w:p>
        </w:tc>
        <w:tc>
          <w:tcPr>
            <w:tcW w:w="153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235.53 a</w:t>
            </w:r>
          </w:p>
        </w:tc>
        <w:tc>
          <w:tcPr>
            <w:tcW w:w="144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17.16 a</w:t>
            </w:r>
          </w:p>
        </w:tc>
        <w:tc>
          <w:tcPr>
            <w:tcW w:w="135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178.83 a</w:t>
            </w:r>
          </w:p>
        </w:tc>
        <w:tc>
          <w:tcPr>
            <w:tcW w:w="1260" w:type="dxa"/>
            <w:tcBorders>
              <w:top w:val="nil"/>
              <w:left w:val="nil"/>
              <w:bottom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47.02 a</w:t>
            </w:r>
          </w:p>
        </w:tc>
      </w:tr>
      <w:tr w:rsidR="00CD528E" w:rsidTr="00BA3559">
        <w:tc>
          <w:tcPr>
            <w:tcW w:w="2771" w:type="dxa"/>
            <w:tcBorders>
              <w:top w:val="nil"/>
              <w:left w:val="nil"/>
              <w:right w:val="nil"/>
            </w:tcBorders>
            <w:shd w:val="clear" w:color="auto" w:fill="auto"/>
          </w:tcPr>
          <w:p w:rsidR="00CD528E" w:rsidRDefault="00CD528E" w:rsidP="00BA3559">
            <w:pPr>
              <w:ind w:left="720" w:firstLine="459"/>
              <w:rPr>
                <w:rFonts w:ascii="Arial" w:hAnsi="Arial" w:cs="Arial"/>
                <w:sz w:val="18"/>
                <w:szCs w:val="18"/>
              </w:rPr>
            </w:pPr>
            <w:r>
              <w:rPr>
                <w:rFonts w:ascii="Arial" w:hAnsi="Arial" w:cs="Arial"/>
                <w:sz w:val="18"/>
                <w:szCs w:val="18"/>
              </w:rPr>
              <w:t>Foliar x 100 ppm</w:t>
            </w:r>
          </w:p>
        </w:tc>
        <w:tc>
          <w:tcPr>
            <w:tcW w:w="153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241.70 a</w:t>
            </w:r>
          </w:p>
        </w:tc>
        <w:tc>
          <w:tcPr>
            <w:tcW w:w="144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16.31 a</w:t>
            </w:r>
          </w:p>
        </w:tc>
        <w:tc>
          <w:tcPr>
            <w:tcW w:w="135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178.50 a</w:t>
            </w:r>
          </w:p>
        </w:tc>
        <w:tc>
          <w:tcPr>
            <w:tcW w:w="1260" w:type="dxa"/>
            <w:tcBorders>
              <w:top w:val="nil"/>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43.70 a</w:t>
            </w:r>
          </w:p>
        </w:tc>
      </w:tr>
      <w:tr w:rsidR="00CD528E" w:rsidTr="00BA3559">
        <w:tc>
          <w:tcPr>
            <w:tcW w:w="2771" w:type="dxa"/>
            <w:tcBorders>
              <w:left w:val="nil"/>
              <w:right w:val="nil"/>
            </w:tcBorders>
            <w:shd w:val="clear" w:color="auto" w:fill="auto"/>
          </w:tcPr>
          <w:p w:rsidR="00CD528E" w:rsidRDefault="00CD528E" w:rsidP="00BA3559">
            <w:pPr>
              <w:ind w:left="720" w:firstLine="34"/>
              <w:rPr>
                <w:rFonts w:ascii="Arial" w:hAnsi="Arial" w:cs="Arial"/>
                <w:sz w:val="18"/>
                <w:szCs w:val="18"/>
              </w:rPr>
            </w:pPr>
            <w:r>
              <w:rPr>
                <w:rFonts w:ascii="Arial" w:hAnsi="Arial" w:cs="Arial"/>
                <w:sz w:val="18"/>
                <w:szCs w:val="18"/>
              </w:rPr>
              <w:t>Prob. F &gt; 5%</w:t>
            </w:r>
          </w:p>
        </w:tc>
        <w:tc>
          <w:tcPr>
            <w:tcW w:w="153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0.0914 </w:t>
            </w:r>
          </w:p>
        </w:tc>
        <w:tc>
          <w:tcPr>
            <w:tcW w:w="144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0.8901 </w:t>
            </w:r>
          </w:p>
        </w:tc>
        <w:tc>
          <w:tcPr>
            <w:tcW w:w="135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0.3365</w:t>
            </w:r>
          </w:p>
        </w:tc>
        <w:tc>
          <w:tcPr>
            <w:tcW w:w="1260" w:type="dxa"/>
            <w:tcBorders>
              <w:left w:val="nil"/>
              <w:right w:val="nil"/>
            </w:tcBorders>
            <w:shd w:val="clear" w:color="auto" w:fill="auto"/>
          </w:tcPr>
          <w:p w:rsidR="00CD528E" w:rsidRDefault="00CD528E" w:rsidP="00BA3559">
            <w:pPr>
              <w:jc w:val="center"/>
              <w:rPr>
                <w:rFonts w:ascii="Arial" w:hAnsi="Arial" w:cs="Arial"/>
                <w:sz w:val="18"/>
                <w:szCs w:val="18"/>
              </w:rPr>
            </w:pPr>
            <w:r>
              <w:rPr>
                <w:rFonts w:ascii="Arial" w:hAnsi="Arial" w:cs="Arial"/>
                <w:sz w:val="18"/>
                <w:szCs w:val="18"/>
              </w:rPr>
              <w:t xml:space="preserve">0.7029 </w:t>
            </w:r>
          </w:p>
        </w:tc>
      </w:tr>
    </w:tbl>
    <w:p w:rsidR="00CD528E" w:rsidRDefault="00CD528E" w:rsidP="00CD528E">
      <w:pPr>
        <w:spacing w:before="80" w:after="0" w:line="240" w:lineRule="auto"/>
        <w:ind w:left="540" w:hanging="540"/>
        <w:contextualSpacing/>
        <w:rPr>
          <w:rFonts w:ascii="Arial" w:hAnsi="Arial" w:cs="Arial"/>
          <w:bCs/>
          <w:i/>
          <w:sz w:val="18"/>
          <w:szCs w:val="18"/>
        </w:rPr>
      </w:pPr>
      <w:r>
        <w:rPr>
          <w:rFonts w:ascii="Arial" w:hAnsi="Arial" w:cs="Arial"/>
          <w:i/>
          <w:sz w:val="18"/>
          <w:szCs w:val="18"/>
        </w:rPr>
        <w:t>Note: Treatment means (of two experiments) in the same column followed with the same letter are not significantly different</w:t>
      </w:r>
      <w:r>
        <w:rPr>
          <w:rFonts w:ascii="Arial" w:hAnsi="Arial" w:cs="Arial"/>
          <w:bCs/>
          <w:i/>
          <w:sz w:val="18"/>
          <w:szCs w:val="18"/>
        </w:rPr>
        <w:t xml:space="preserve"> according to Least Significant Difference at 5%</w:t>
      </w:r>
    </w:p>
    <w:sectPr w:rsidR="00CD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8E"/>
    <w:rsid w:val="002A636B"/>
    <w:rsid w:val="0036680B"/>
    <w:rsid w:val="00374772"/>
    <w:rsid w:val="00872487"/>
    <w:rsid w:val="00936246"/>
    <w:rsid w:val="00A024D6"/>
    <w:rsid w:val="00CD528E"/>
    <w:rsid w:val="00DA490A"/>
    <w:rsid w:val="00E91142"/>
    <w:rsid w:val="00FD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08E6"/>
  <w15:chartTrackingRefBased/>
  <w15:docId w15:val="{74375FE9-0667-435A-8301-0E1F31DA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D528E"/>
    <w:rPr>
      <w:b/>
      <w:bCs/>
    </w:rPr>
  </w:style>
  <w:style w:type="character" w:styleId="Emphasis">
    <w:name w:val="Emphasis"/>
    <w:basedOn w:val="DefaultParagraphFont"/>
    <w:uiPriority w:val="20"/>
    <w:qFormat/>
    <w:rsid w:val="00CD528E"/>
    <w:rPr>
      <w:i/>
      <w:iCs/>
    </w:rPr>
  </w:style>
  <w:style w:type="character" w:customStyle="1" w:styleId="author">
    <w:name w:val="author"/>
    <w:basedOn w:val="DefaultParagraphFont"/>
    <w:qFormat/>
    <w:rsid w:val="00CD528E"/>
  </w:style>
  <w:style w:type="character" w:customStyle="1" w:styleId="author-name">
    <w:name w:val="author-name"/>
    <w:basedOn w:val="DefaultParagraphFont"/>
    <w:qFormat/>
    <w:rsid w:val="00CD528E"/>
  </w:style>
  <w:style w:type="character" w:customStyle="1" w:styleId="InternetLink">
    <w:name w:val="Internet Link"/>
    <w:basedOn w:val="DefaultParagraphFont"/>
    <w:uiPriority w:val="99"/>
    <w:unhideWhenUsed/>
    <w:rsid w:val="00CD528E"/>
    <w:rPr>
      <w:color w:val="0563C1" w:themeColor="hyperlink"/>
      <w:u w:val="single"/>
    </w:rPr>
  </w:style>
  <w:style w:type="character" w:styleId="HTMLCite">
    <w:name w:val="HTML Cite"/>
    <w:basedOn w:val="DefaultParagraphFont"/>
    <w:uiPriority w:val="99"/>
    <w:semiHidden/>
    <w:unhideWhenUsed/>
    <w:qFormat/>
    <w:rsid w:val="00CD528E"/>
    <w:rPr>
      <w:i/>
      <w:iCs/>
    </w:rPr>
  </w:style>
  <w:style w:type="character" w:customStyle="1" w:styleId="a">
    <w:name w:val="a"/>
    <w:basedOn w:val="DefaultParagraphFont"/>
    <w:qFormat/>
    <w:rsid w:val="00CD528E"/>
  </w:style>
  <w:style w:type="paragraph" w:styleId="ListParagraph">
    <w:name w:val="List Paragraph"/>
    <w:basedOn w:val="Normal"/>
    <w:uiPriority w:val="34"/>
    <w:qFormat/>
    <w:rsid w:val="00CD528E"/>
    <w:pPr>
      <w:spacing w:after="200" w:line="276" w:lineRule="auto"/>
      <w:ind w:left="720"/>
      <w:contextualSpacing/>
    </w:pPr>
    <w:rPr>
      <w:rFonts w:eastAsiaTheme="minorEastAsia"/>
      <w:lang w:val="id-ID"/>
    </w:rPr>
  </w:style>
  <w:style w:type="paragraph" w:customStyle="1" w:styleId="IJASEITReferenceItem">
    <w:name w:val="IJASEIT Reference Item"/>
    <w:basedOn w:val="Normal"/>
    <w:qFormat/>
    <w:rsid w:val="00CD528E"/>
    <w:pPr>
      <w:snapToGrid w:val="0"/>
      <w:spacing w:after="0" w:line="240" w:lineRule="auto"/>
      <w:jc w:val="both"/>
    </w:pPr>
    <w:rPr>
      <w:rFonts w:ascii="Times New Roman" w:eastAsia="SimSun" w:hAnsi="Times New Roman" w:cs="Times New Roman"/>
      <w:sz w:val="16"/>
      <w:szCs w:val="24"/>
      <w:lang w:eastAsia="zh-CN"/>
    </w:rPr>
  </w:style>
  <w:style w:type="paragraph" w:customStyle="1" w:styleId="journal-title">
    <w:name w:val="journal-title"/>
    <w:basedOn w:val="Normal"/>
    <w:qFormat/>
    <w:rsid w:val="00CD528E"/>
    <w:pPr>
      <w:spacing w:beforeAutospacing="1" w:after="2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CD528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ab.bioflux.com.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7503/Agrivita-2013-35-3-p242-248" TargetMode="External"/><Relationship Id="rId5" Type="http://schemas.openxmlformats.org/officeDocument/2006/relationships/hyperlink" Target="http://dx.doi.org/10.17503/agrivita.v38i2.594" TargetMode="External"/><Relationship Id="rId4" Type="http://schemas.openxmlformats.org/officeDocument/2006/relationships/hyperlink" Target="http://www.nacaa.com/journal/index.php?jid=2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fahrur rozi</dc:creator>
  <cp:keywords/>
  <dc:description/>
  <cp:lastModifiedBy>fahrur rozi</cp:lastModifiedBy>
  <cp:revision>2</cp:revision>
  <dcterms:created xsi:type="dcterms:W3CDTF">2017-09-12T16:27:00Z</dcterms:created>
  <dcterms:modified xsi:type="dcterms:W3CDTF">2017-09-12T16:27:00Z</dcterms:modified>
</cp:coreProperties>
</file>